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A94" w:rsidRPr="00AE4A01" w:rsidRDefault="00D46A94" w:rsidP="00CC3227">
      <w:pPr>
        <w:numPr>
          <w:ilvl w:val="0"/>
          <w:numId w:val="4"/>
        </w:numPr>
        <w:tabs>
          <w:tab w:val="clear" w:pos="1080"/>
          <w:tab w:val="left" w:pos="981"/>
        </w:tabs>
        <w:spacing w:after="240"/>
        <w:ind w:left="2160" w:hanging="1800"/>
        <w:rPr>
          <w:b/>
        </w:rPr>
      </w:pPr>
      <w:r w:rsidRPr="0019041D">
        <w:rPr>
          <w:b/>
        </w:rPr>
        <w:t>Question:</w:t>
      </w:r>
      <w:r w:rsidR="00926F25">
        <w:rPr>
          <w:b/>
        </w:rPr>
        <w:tab/>
      </w:r>
      <w:r w:rsidR="00926F25" w:rsidRPr="00AE4A01">
        <w:rPr>
          <w:b/>
        </w:rPr>
        <w:t>Will a census be provided to proposing bidders?</w:t>
      </w:r>
    </w:p>
    <w:p w:rsidR="00D46A94" w:rsidRPr="0019041D" w:rsidRDefault="00D46A94" w:rsidP="00926F25">
      <w:pPr>
        <w:ind w:left="2160" w:hanging="1170"/>
      </w:pPr>
      <w:r w:rsidRPr="0019041D">
        <w:rPr>
          <w:b/>
        </w:rPr>
        <w:t>Response:</w:t>
      </w:r>
      <w:r w:rsidR="00926F25">
        <w:rPr>
          <w:b/>
        </w:rPr>
        <w:tab/>
      </w:r>
      <w:r w:rsidR="00B97941" w:rsidRPr="00B97941">
        <w:t>A</w:t>
      </w:r>
      <w:r w:rsidR="00B97941">
        <w:rPr>
          <w:b/>
        </w:rPr>
        <w:t xml:space="preserve"> </w:t>
      </w:r>
      <w:r w:rsidR="00AE4A01">
        <w:t xml:space="preserve">census is not readily available; </w:t>
      </w:r>
      <w:r w:rsidR="00B97941">
        <w:t xml:space="preserve">Appendix </w:t>
      </w:r>
      <w:r w:rsidR="00B72A18">
        <w:t>E</w:t>
      </w:r>
      <w:r w:rsidR="00B97941">
        <w:t xml:space="preserve"> can be used for this information.</w:t>
      </w:r>
    </w:p>
    <w:p w:rsidR="00D46A94" w:rsidRPr="0019041D" w:rsidRDefault="00D46A94" w:rsidP="00D46A94">
      <w:pPr>
        <w:rPr>
          <w:b/>
        </w:rPr>
      </w:pPr>
    </w:p>
    <w:p w:rsidR="00D46A94" w:rsidRPr="00AE4A01" w:rsidRDefault="00AC4BF9" w:rsidP="00CC3227">
      <w:pPr>
        <w:numPr>
          <w:ilvl w:val="0"/>
          <w:numId w:val="4"/>
        </w:numPr>
        <w:tabs>
          <w:tab w:val="clear" w:pos="1080"/>
          <w:tab w:val="left" w:pos="981"/>
        </w:tabs>
        <w:spacing w:after="240"/>
        <w:ind w:left="2160" w:hanging="1800"/>
        <w:rPr>
          <w:b/>
        </w:rPr>
      </w:pPr>
      <w:r w:rsidRPr="00926F25">
        <w:rPr>
          <w:b/>
        </w:rPr>
        <w:t>Question:</w:t>
      </w:r>
      <w:r w:rsidR="00D46A94" w:rsidRPr="00926F25">
        <w:rPr>
          <w:b/>
        </w:rPr>
        <w:t xml:space="preserve"> </w:t>
      </w:r>
      <w:r w:rsidR="00926F25">
        <w:rPr>
          <w:b/>
        </w:rPr>
        <w:tab/>
      </w:r>
      <w:r w:rsidR="00926F25" w:rsidRPr="00AE4A01">
        <w:rPr>
          <w:b/>
        </w:rPr>
        <w:t xml:space="preserve">Will the State consider </w:t>
      </w:r>
      <w:r w:rsidR="00D82033" w:rsidRPr="00AE4A01">
        <w:rPr>
          <w:b/>
        </w:rPr>
        <w:t xml:space="preserve">making </w:t>
      </w:r>
      <w:r w:rsidR="00926F25" w:rsidRPr="00AE4A01">
        <w:rPr>
          <w:b/>
        </w:rPr>
        <w:t xml:space="preserve">exceptions to the Minimum Requirements </w:t>
      </w:r>
      <w:r w:rsidR="00D82033" w:rsidRPr="00AE4A01">
        <w:rPr>
          <w:b/>
        </w:rPr>
        <w:t>for</w:t>
      </w:r>
      <w:r w:rsidR="00926F25" w:rsidRPr="00AE4A01">
        <w:rPr>
          <w:b/>
        </w:rPr>
        <w:t xml:space="preserve"> Proposing Insurers</w:t>
      </w:r>
      <w:r w:rsidR="00D46A94" w:rsidRPr="00AE4A01">
        <w:rPr>
          <w:b/>
        </w:rPr>
        <w:t>?</w:t>
      </w:r>
    </w:p>
    <w:p w:rsidR="00D33861" w:rsidRDefault="00926F25" w:rsidP="00AC04F4">
      <w:pPr>
        <w:tabs>
          <w:tab w:val="left" w:pos="981"/>
        </w:tabs>
        <w:ind w:left="2160" w:hanging="1440"/>
        <w:rPr>
          <w:b/>
        </w:rPr>
      </w:pPr>
      <w:r>
        <w:rPr>
          <w:b/>
        </w:rPr>
        <w:tab/>
      </w:r>
      <w:r w:rsidR="00D46A94" w:rsidRPr="0019041D">
        <w:rPr>
          <w:b/>
        </w:rPr>
        <w:t>Response:</w:t>
      </w:r>
      <w:r w:rsidR="00D82033">
        <w:rPr>
          <w:b/>
        </w:rPr>
        <w:tab/>
      </w:r>
      <w:r w:rsidR="00805671">
        <w:t>No.</w:t>
      </w:r>
    </w:p>
    <w:p w:rsidR="00AC04F4" w:rsidRPr="00AC04F4" w:rsidRDefault="00AC04F4" w:rsidP="00AC04F4">
      <w:pPr>
        <w:tabs>
          <w:tab w:val="left" w:pos="981"/>
        </w:tabs>
        <w:ind w:left="2160"/>
      </w:pPr>
    </w:p>
    <w:p w:rsidR="00AC04F4" w:rsidRPr="00AE4A01" w:rsidRDefault="00AC04F4" w:rsidP="00CC3227">
      <w:pPr>
        <w:numPr>
          <w:ilvl w:val="0"/>
          <w:numId w:val="4"/>
        </w:numPr>
        <w:tabs>
          <w:tab w:val="clear" w:pos="1080"/>
          <w:tab w:val="left" w:pos="981"/>
        </w:tabs>
        <w:spacing w:after="240"/>
        <w:ind w:left="2160" w:hanging="1800"/>
        <w:rPr>
          <w:b/>
        </w:rPr>
      </w:pPr>
      <w:r w:rsidRPr="00CC3227">
        <w:rPr>
          <w:b/>
        </w:rPr>
        <w:t xml:space="preserve">Question: </w:t>
      </w:r>
      <w:r w:rsidRPr="00CC3227">
        <w:rPr>
          <w:b/>
        </w:rPr>
        <w:tab/>
      </w:r>
      <w:r w:rsidR="00CC3227" w:rsidRPr="00AE4A01">
        <w:rPr>
          <w:b/>
        </w:rPr>
        <w:t>The State and participating local governments have accumulated substantial assets to pre-fund and offset the post-retirement liability; would the state entertain a settlement or irrevocable transfer of the liability to an insurer via a Retiree Life Buy-out?</w:t>
      </w:r>
    </w:p>
    <w:p w:rsidR="00AC04F4" w:rsidRPr="0019041D" w:rsidRDefault="00AC04F4" w:rsidP="00AC04F4">
      <w:pPr>
        <w:tabs>
          <w:tab w:val="left" w:pos="981"/>
        </w:tabs>
        <w:ind w:left="2160" w:hanging="1440"/>
        <w:rPr>
          <w:b/>
        </w:rPr>
      </w:pPr>
      <w:r>
        <w:rPr>
          <w:b/>
        </w:rPr>
        <w:tab/>
      </w:r>
      <w:r w:rsidRPr="0019041D">
        <w:rPr>
          <w:b/>
        </w:rPr>
        <w:t>Response:</w:t>
      </w:r>
      <w:r>
        <w:rPr>
          <w:b/>
        </w:rPr>
        <w:tab/>
      </w:r>
      <w:r w:rsidR="00972CDD">
        <w:t>No.</w:t>
      </w:r>
      <w:r w:rsidRPr="00926F25">
        <w:rPr>
          <w:b/>
        </w:rPr>
        <w:t> </w:t>
      </w:r>
    </w:p>
    <w:p w:rsidR="00D46A94" w:rsidRDefault="00D46A94" w:rsidP="00D46A94">
      <w:pPr>
        <w:ind w:left="1440"/>
        <w:rPr>
          <w:b/>
        </w:rPr>
      </w:pPr>
    </w:p>
    <w:p w:rsidR="00CC3227" w:rsidRPr="00AE4A01" w:rsidRDefault="00CC3227" w:rsidP="00CC3227">
      <w:pPr>
        <w:numPr>
          <w:ilvl w:val="0"/>
          <w:numId w:val="4"/>
        </w:numPr>
        <w:tabs>
          <w:tab w:val="clear" w:pos="1080"/>
          <w:tab w:val="left" w:pos="981"/>
        </w:tabs>
        <w:spacing w:after="240"/>
        <w:ind w:left="2160" w:hanging="1800"/>
        <w:rPr>
          <w:b/>
        </w:rPr>
      </w:pPr>
      <w:r w:rsidRPr="00CC3227">
        <w:rPr>
          <w:b/>
        </w:rPr>
        <w:t xml:space="preserve">Question: </w:t>
      </w:r>
      <w:r w:rsidRPr="00CC3227">
        <w:rPr>
          <w:b/>
        </w:rPr>
        <w:tab/>
      </w:r>
      <w:r w:rsidRPr="00AE4A01">
        <w:rPr>
          <w:b/>
        </w:rPr>
        <w:t>Does the current Premium Deposit Fund represent a general account liability of MN Life?  If yes, are there any credit/concentration risk issues associated with having that much money with a single counterparty?  Would there be any interest in exploring insulated separate account funds to eliminate credit risk issues?</w:t>
      </w:r>
    </w:p>
    <w:p w:rsidR="00CC3227" w:rsidRPr="0019041D" w:rsidRDefault="00CC3227" w:rsidP="00CC3227">
      <w:pPr>
        <w:tabs>
          <w:tab w:val="left" w:pos="981"/>
        </w:tabs>
        <w:ind w:left="2160" w:hanging="1440"/>
        <w:rPr>
          <w:b/>
        </w:rPr>
      </w:pPr>
      <w:r>
        <w:rPr>
          <w:b/>
        </w:rPr>
        <w:tab/>
      </w:r>
      <w:r w:rsidRPr="0019041D">
        <w:rPr>
          <w:b/>
        </w:rPr>
        <w:t>Response:</w:t>
      </w:r>
      <w:r>
        <w:rPr>
          <w:b/>
        </w:rPr>
        <w:tab/>
      </w:r>
      <w:r w:rsidR="00972CDD">
        <w:t>Yes the State would be interested in exploring such an arrangement.</w:t>
      </w:r>
    </w:p>
    <w:p w:rsidR="00CC3227" w:rsidRDefault="00CC3227" w:rsidP="00D46A94">
      <w:pPr>
        <w:ind w:left="1440"/>
        <w:rPr>
          <w:b/>
        </w:rPr>
      </w:pPr>
    </w:p>
    <w:p w:rsidR="00CC3227" w:rsidRPr="00DD563B" w:rsidRDefault="00CC3227" w:rsidP="00CC3227">
      <w:pPr>
        <w:numPr>
          <w:ilvl w:val="0"/>
          <w:numId w:val="4"/>
        </w:numPr>
        <w:tabs>
          <w:tab w:val="clear" w:pos="1080"/>
          <w:tab w:val="left" w:pos="981"/>
        </w:tabs>
        <w:spacing w:after="240"/>
        <w:ind w:left="2160" w:hanging="1800"/>
        <w:rPr>
          <w:b/>
        </w:rPr>
      </w:pPr>
      <w:r w:rsidRPr="00CC3227">
        <w:rPr>
          <w:b/>
        </w:rPr>
        <w:t xml:space="preserve">Question: </w:t>
      </w:r>
      <w:r w:rsidRPr="00CC3227">
        <w:rPr>
          <w:b/>
        </w:rPr>
        <w:tab/>
      </w:r>
      <w:r w:rsidRPr="00DD563B">
        <w:rPr>
          <w:b/>
        </w:rPr>
        <w:t>Do the termination provisions (Appx D -Funding Arrangements) apply only if the Plan is terminated?  That is, would the Premium Deposit Fund remain with MN Life for current retirees if the Plan continued but with a new insurer?</w:t>
      </w:r>
    </w:p>
    <w:p w:rsidR="00CC3227" w:rsidRPr="0019041D" w:rsidRDefault="00CC3227" w:rsidP="00CC3227">
      <w:pPr>
        <w:tabs>
          <w:tab w:val="left" w:pos="981"/>
        </w:tabs>
        <w:ind w:left="2160" w:hanging="1440"/>
        <w:rPr>
          <w:b/>
        </w:rPr>
      </w:pPr>
      <w:r>
        <w:rPr>
          <w:b/>
        </w:rPr>
        <w:tab/>
      </w:r>
      <w:r w:rsidRPr="0019041D">
        <w:rPr>
          <w:b/>
        </w:rPr>
        <w:t>Response:</w:t>
      </w:r>
      <w:r>
        <w:rPr>
          <w:b/>
        </w:rPr>
        <w:tab/>
      </w:r>
      <w:r w:rsidR="00B77EFE">
        <w:t>Yes, your understanding is correct</w:t>
      </w:r>
      <w:r>
        <w:t>.</w:t>
      </w:r>
      <w:r w:rsidRPr="00926F25">
        <w:rPr>
          <w:b/>
        </w:rPr>
        <w:t> </w:t>
      </w:r>
    </w:p>
    <w:p w:rsidR="00CC3227" w:rsidRDefault="00CC3227" w:rsidP="00D46A94">
      <w:pPr>
        <w:ind w:left="1440"/>
        <w:rPr>
          <w:b/>
        </w:rPr>
      </w:pPr>
    </w:p>
    <w:p w:rsidR="00CC3227" w:rsidRPr="00DD563B" w:rsidRDefault="00CC3227" w:rsidP="00CC3227">
      <w:pPr>
        <w:numPr>
          <w:ilvl w:val="0"/>
          <w:numId w:val="4"/>
        </w:numPr>
        <w:tabs>
          <w:tab w:val="clear" w:pos="1080"/>
          <w:tab w:val="left" w:pos="981"/>
        </w:tabs>
        <w:spacing w:after="240"/>
        <w:ind w:left="2160" w:hanging="1800"/>
        <w:rPr>
          <w:b/>
        </w:rPr>
      </w:pPr>
      <w:r w:rsidRPr="00CC3227">
        <w:rPr>
          <w:b/>
        </w:rPr>
        <w:t xml:space="preserve">Question: </w:t>
      </w:r>
      <w:r w:rsidRPr="00CC3227">
        <w:rPr>
          <w:b/>
        </w:rPr>
        <w:tab/>
      </w:r>
      <w:r w:rsidRPr="00DD563B">
        <w:rPr>
          <w:b/>
        </w:rPr>
        <w:t>Are the initial and annual premium contributions toward the cost of post-retirement insurance predetermined at the levels specified in RFP sections 6.2.4 and 6.3.4, or are these figures merely provided for consistency of RFP responses?</w:t>
      </w:r>
    </w:p>
    <w:p w:rsidR="00CC3227" w:rsidRDefault="00CC3227" w:rsidP="00CC3227">
      <w:pPr>
        <w:tabs>
          <w:tab w:val="left" w:pos="981"/>
        </w:tabs>
        <w:ind w:left="2160" w:hanging="1440"/>
        <w:rPr>
          <w:b/>
        </w:rPr>
      </w:pPr>
      <w:r>
        <w:rPr>
          <w:b/>
        </w:rPr>
        <w:tab/>
      </w:r>
      <w:r w:rsidRPr="0019041D">
        <w:rPr>
          <w:b/>
        </w:rPr>
        <w:t>Response:</w:t>
      </w:r>
      <w:r>
        <w:rPr>
          <w:b/>
        </w:rPr>
        <w:tab/>
      </w:r>
      <w:r w:rsidR="00D718F6">
        <w:t>These are assumptions and provided for consistency of response</w:t>
      </w:r>
      <w:r>
        <w:t>.</w:t>
      </w:r>
      <w:r w:rsidRPr="00926F25">
        <w:rPr>
          <w:b/>
        </w:rPr>
        <w:t> </w:t>
      </w:r>
    </w:p>
    <w:p w:rsidR="00CC3227" w:rsidRDefault="00CC3227" w:rsidP="00CC3227">
      <w:pPr>
        <w:tabs>
          <w:tab w:val="left" w:pos="981"/>
        </w:tabs>
        <w:ind w:left="2160" w:hanging="1440"/>
        <w:rPr>
          <w:b/>
        </w:rPr>
      </w:pPr>
    </w:p>
    <w:p w:rsidR="00CC3227" w:rsidRPr="00DD563B" w:rsidRDefault="00CC3227" w:rsidP="00B45C27">
      <w:pPr>
        <w:numPr>
          <w:ilvl w:val="0"/>
          <w:numId w:val="4"/>
        </w:numPr>
        <w:tabs>
          <w:tab w:val="clear" w:pos="1080"/>
          <w:tab w:val="left" w:pos="981"/>
        </w:tabs>
        <w:spacing w:after="240"/>
        <w:ind w:left="2160" w:hanging="1800"/>
        <w:rPr>
          <w:b/>
        </w:rPr>
      </w:pPr>
      <w:r w:rsidRPr="00CC3227">
        <w:rPr>
          <w:b/>
        </w:rPr>
        <w:t xml:space="preserve">Question: </w:t>
      </w:r>
      <w:r w:rsidRPr="00CC3227">
        <w:rPr>
          <w:b/>
        </w:rPr>
        <w:tab/>
      </w:r>
      <w:r w:rsidR="00B45C27" w:rsidRPr="00DD563B">
        <w:rPr>
          <w:b/>
        </w:rPr>
        <w:t>Aside from funding for post-retirement insurance, is it anticipated that any additional funds (PSRs) will be transferred to the succeeding carrier</w:t>
      </w:r>
      <w:r w:rsidRPr="00DD563B">
        <w:rPr>
          <w:b/>
        </w:rPr>
        <w:t>?</w:t>
      </w:r>
    </w:p>
    <w:p w:rsidR="00B941ED" w:rsidRDefault="00CC3227" w:rsidP="00CC3227">
      <w:pPr>
        <w:tabs>
          <w:tab w:val="left" w:pos="981"/>
        </w:tabs>
        <w:ind w:left="2160" w:hanging="1440"/>
      </w:pPr>
      <w:r>
        <w:rPr>
          <w:b/>
        </w:rPr>
        <w:lastRenderedPageBreak/>
        <w:tab/>
      </w:r>
      <w:r w:rsidRPr="00B941ED">
        <w:rPr>
          <w:b/>
        </w:rPr>
        <w:t>Response:</w:t>
      </w:r>
      <w:r w:rsidRPr="00B941ED">
        <w:rPr>
          <w:b/>
        </w:rPr>
        <w:tab/>
      </w:r>
      <w:r w:rsidR="004D28BC" w:rsidRPr="00B941ED">
        <w:t xml:space="preserve">Please see the Administrative Agreement Section 4.9 </w:t>
      </w:r>
      <w:r w:rsidR="00B941ED" w:rsidRPr="00B941ED">
        <w:t>Financial Provisions in Event</w:t>
      </w:r>
      <w:r w:rsidR="00160C5E">
        <w:t xml:space="preserve"> of Cancellation of the Policy under </w:t>
      </w:r>
      <w:r w:rsidR="00B941ED" w:rsidRPr="00B941ED">
        <w:t>B. Distribution of Unallocated Reserves</w:t>
      </w:r>
      <w:r w:rsidR="004D28BC" w:rsidRPr="00B941ED">
        <w:t xml:space="preserve"> </w:t>
      </w:r>
      <w:r w:rsidR="00031F44" w:rsidRPr="00B941ED">
        <w:t>for details</w:t>
      </w:r>
      <w:r w:rsidR="00B941ED">
        <w:t xml:space="preserve"> related to policy cancelation</w:t>
      </w:r>
      <w:r w:rsidR="00B941ED" w:rsidRPr="00B941ED">
        <w:t>.</w:t>
      </w:r>
    </w:p>
    <w:p w:rsidR="00B941ED" w:rsidRDefault="00B941ED" w:rsidP="00CC3227">
      <w:pPr>
        <w:tabs>
          <w:tab w:val="left" w:pos="981"/>
        </w:tabs>
        <w:ind w:left="2160" w:hanging="1440"/>
        <w:rPr>
          <w:b/>
        </w:rPr>
      </w:pPr>
      <w:r>
        <w:rPr>
          <w:b/>
        </w:rPr>
        <w:tab/>
      </w:r>
      <w:r>
        <w:rPr>
          <w:b/>
        </w:rPr>
        <w:tab/>
      </w:r>
    </w:p>
    <w:p w:rsidR="00B941ED" w:rsidRPr="00B941ED" w:rsidRDefault="00B941ED" w:rsidP="00B941ED">
      <w:pPr>
        <w:tabs>
          <w:tab w:val="left" w:pos="981"/>
        </w:tabs>
        <w:ind w:left="2160" w:hanging="1440"/>
        <w:rPr>
          <w:i/>
          <w:u w:val="single"/>
        </w:rPr>
      </w:pPr>
      <w:r w:rsidRPr="00B941ED">
        <w:rPr>
          <w:i/>
        </w:rPr>
        <w:tab/>
      </w:r>
      <w:r w:rsidRPr="00B941ED">
        <w:rPr>
          <w:i/>
        </w:rPr>
        <w:tab/>
      </w:r>
      <w:r w:rsidRPr="00B941ED">
        <w:rPr>
          <w:i/>
          <w:u w:val="single"/>
        </w:rPr>
        <w:t>B. Distribution of Unallocated Reserves</w:t>
      </w:r>
    </w:p>
    <w:p w:rsidR="00B941ED" w:rsidRPr="00B941ED" w:rsidRDefault="00B941ED" w:rsidP="00B941ED">
      <w:pPr>
        <w:tabs>
          <w:tab w:val="left" w:pos="981"/>
        </w:tabs>
        <w:ind w:left="2160" w:hanging="1440"/>
        <w:rPr>
          <w:i/>
        </w:rPr>
      </w:pPr>
      <w:r>
        <w:rPr>
          <w:i/>
        </w:rPr>
        <w:tab/>
      </w:r>
      <w:r>
        <w:rPr>
          <w:i/>
        </w:rPr>
        <w:tab/>
      </w:r>
      <w:r w:rsidRPr="00B941ED">
        <w:rPr>
          <w:i/>
        </w:rPr>
        <w:t>After allocation of the portion of the contingent liability reserve, stabilization reserve and premium deposit fund to be held by MINNESOTA LIFE upon cancellation of the policy as described in the preceding section, MINNESOTA LIFE shall pay the remaining unallocated contingent liability reserve, stabilization reserve and premium deposit fund to the STATE in 84 monthly payments plus a final payment after the end of the 84-month period.  The first monthly payment shall be due one month after the date of cancellation.</w:t>
      </w:r>
    </w:p>
    <w:p w:rsidR="00B941ED" w:rsidRPr="00B941ED" w:rsidRDefault="00B941ED" w:rsidP="00B941ED">
      <w:pPr>
        <w:tabs>
          <w:tab w:val="left" w:pos="981"/>
        </w:tabs>
        <w:ind w:left="2160" w:hanging="1440"/>
        <w:rPr>
          <w:i/>
        </w:rPr>
      </w:pPr>
    </w:p>
    <w:p w:rsidR="00B941ED" w:rsidRPr="00B941ED" w:rsidRDefault="00B941ED" w:rsidP="00B941ED">
      <w:pPr>
        <w:tabs>
          <w:tab w:val="left" w:pos="981"/>
        </w:tabs>
        <w:ind w:left="2160" w:hanging="1440"/>
        <w:rPr>
          <w:i/>
        </w:rPr>
      </w:pPr>
      <w:r>
        <w:rPr>
          <w:i/>
        </w:rPr>
        <w:tab/>
      </w:r>
      <w:r>
        <w:rPr>
          <w:i/>
        </w:rPr>
        <w:tab/>
      </w:r>
      <w:r w:rsidRPr="00B941ED">
        <w:rPr>
          <w:i/>
        </w:rPr>
        <w:t>Upon cancellation of the policy, MINNESOTA LIFE shall identify specific securities within its general account which shall be consistent in duration, quality and yield with the general account interest-crediting basis in effect for the PROGRAM at the time of cancellation.  Each monthly payment during the 84-month payout period shall reflect the investment cash flow, including principal and interest payments, received during the month on the specified ASSETS, reduced by MINNESOTA LIFE's charge for investment expenses and risk charges.</w:t>
      </w:r>
    </w:p>
    <w:p w:rsidR="00B941ED" w:rsidRPr="00B941ED" w:rsidRDefault="00B941ED" w:rsidP="00B941ED">
      <w:pPr>
        <w:tabs>
          <w:tab w:val="left" w:pos="981"/>
        </w:tabs>
        <w:ind w:left="2160" w:hanging="1440"/>
        <w:rPr>
          <w:i/>
        </w:rPr>
      </w:pPr>
    </w:p>
    <w:p w:rsidR="00CC3227" w:rsidRDefault="00B941ED" w:rsidP="00B941ED">
      <w:pPr>
        <w:tabs>
          <w:tab w:val="left" w:pos="981"/>
        </w:tabs>
        <w:ind w:left="2160" w:hanging="1440"/>
      </w:pPr>
      <w:r>
        <w:rPr>
          <w:i/>
        </w:rPr>
        <w:tab/>
      </w:r>
      <w:r>
        <w:rPr>
          <w:i/>
        </w:rPr>
        <w:tab/>
      </w:r>
      <w:r w:rsidRPr="00B941ED">
        <w:rPr>
          <w:i/>
        </w:rPr>
        <w:t>After the end of the 84-month payout period, MINNESOTA LIFE shall liquidate the remaining ASSETS within a time period which MINNESOTA LIFE and the STATE agree is reasonable for an orderly liquidation and preservation of as much market value as reasonably possible.  MINNESOTA LIFE shall then pay the STATE the market value received for the liquidated ASSETS less its expenses related to the liquidation.</w:t>
      </w:r>
      <w:r w:rsidR="00B45C27" w:rsidRPr="00B941ED">
        <w:rPr>
          <w:i/>
        </w:rPr>
        <w:br/>
      </w:r>
    </w:p>
    <w:p w:rsidR="00B45C27" w:rsidRPr="00F93F75" w:rsidRDefault="00B45C27" w:rsidP="00F93F75">
      <w:pPr>
        <w:numPr>
          <w:ilvl w:val="0"/>
          <w:numId w:val="4"/>
        </w:numPr>
        <w:tabs>
          <w:tab w:val="clear" w:pos="1080"/>
          <w:tab w:val="left" w:pos="981"/>
        </w:tabs>
        <w:spacing w:after="240"/>
        <w:ind w:left="2160" w:hanging="1800"/>
      </w:pPr>
      <w:r w:rsidRPr="00CC3227">
        <w:rPr>
          <w:b/>
        </w:rPr>
        <w:t xml:space="preserve">Question: </w:t>
      </w:r>
      <w:r w:rsidRPr="00CC3227">
        <w:rPr>
          <w:b/>
        </w:rPr>
        <w:tab/>
      </w:r>
      <w:r w:rsidR="00F93F75" w:rsidRPr="00C616DA">
        <w:rPr>
          <w:b/>
        </w:rPr>
        <w:t>Is it possible to obtain a statistical table which provides the number of contracts, by age band, for the separate coverage types of the State and Local Government plan</w:t>
      </w:r>
      <w:r w:rsidRPr="00C616DA">
        <w:rPr>
          <w:b/>
        </w:rPr>
        <w:t>?</w:t>
      </w:r>
    </w:p>
    <w:p w:rsidR="00F93F75" w:rsidRDefault="00B45C27" w:rsidP="00B45C27">
      <w:pPr>
        <w:tabs>
          <w:tab w:val="left" w:pos="981"/>
        </w:tabs>
        <w:ind w:left="2160" w:hanging="1440"/>
      </w:pPr>
      <w:r>
        <w:rPr>
          <w:b/>
        </w:rPr>
        <w:tab/>
      </w:r>
      <w:r w:rsidRPr="0019041D">
        <w:rPr>
          <w:b/>
        </w:rPr>
        <w:t>Response:</w:t>
      </w:r>
      <w:r>
        <w:rPr>
          <w:b/>
        </w:rPr>
        <w:tab/>
      </w:r>
      <w:r w:rsidR="004D28BC">
        <w:t>No</w:t>
      </w:r>
      <w:r>
        <w:t>.</w:t>
      </w:r>
      <w:r w:rsidR="00F93F75">
        <w:br/>
      </w:r>
    </w:p>
    <w:p w:rsidR="00F93F75" w:rsidRPr="00C616DA" w:rsidRDefault="00F93F75" w:rsidP="00F93F75">
      <w:pPr>
        <w:numPr>
          <w:ilvl w:val="0"/>
          <w:numId w:val="4"/>
        </w:numPr>
        <w:tabs>
          <w:tab w:val="clear" w:pos="1080"/>
          <w:tab w:val="left" w:pos="981"/>
        </w:tabs>
        <w:spacing w:after="240"/>
        <w:ind w:left="2160" w:hanging="1800"/>
        <w:rPr>
          <w:b/>
        </w:rPr>
      </w:pPr>
      <w:r w:rsidRPr="00CC3227">
        <w:rPr>
          <w:b/>
        </w:rPr>
        <w:t xml:space="preserve">Question: </w:t>
      </w:r>
      <w:r w:rsidRPr="00CC3227">
        <w:rPr>
          <w:b/>
        </w:rPr>
        <w:tab/>
      </w:r>
      <w:r w:rsidRPr="00C616DA">
        <w:rPr>
          <w:b/>
        </w:rPr>
        <w:t>The RFP provides a table of volumes in excess of the $500,000 pooling point for the State and Local plans.  Is this an aggregate of all three plans (Basic, Supplemental and Additional)?  Are these volumes also reflected in the volume analysis provided in the tables of the preceding sections?</w:t>
      </w:r>
    </w:p>
    <w:p w:rsidR="001E75C6" w:rsidRPr="00C87615" w:rsidRDefault="00F93F75" w:rsidP="00C616DA">
      <w:pPr>
        <w:tabs>
          <w:tab w:val="left" w:pos="981"/>
        </w:tabs>
        <w:ind w:left="2160" w:hanging="1440"/>
      </w:pPr>
      <w:r>
        <w:rPr>
          <w:b/>
        </w:rPr>
        <w:tab/>
      </w:r>
      <w:r w:rsidRPr="0019041D">
        <w:rPr>
          <w:b/>
        </w:rPr>
        <w:t>Response:</w:t>
      </w:r>
      <w:r>
        <w:rPr>
          <w:b/>
        </w:rPr>
        <w:tab/>
      </w:r>
      <w:r w:rsidR="00C616DA" w:rsidRPr="00C616DA">
        <w:t>Yes, the volumes are total basic, supplemental, and additional combined.</w:t>
      </w:r>
      <w:r w:rsidR="00C616DA">
        <w:t xml:space="preserve">  Yes, the volumes are included in the total volume.</w:t>
      </w:r>
    </w:p>
    <w:p w:rsidR="001E75C6" w:rsidRDefault="001E75C6" w:rsidP="00F93F75">
      <w:pPr>
        <w:tabs>
          <w:tab w:val="left" w:pos="981"/>
        </w:tabs>
        <w:ind w:left="2160" w:hanging="1440"/>
      </w:pPr>
    </w:p>
    <w:p w:rsidR="001E75C6" w:rsidRPr="00C616DA" w:rsidRDefault="001E75C6" w:rsidP="001E75C6">
      <w:pPr>
        <w:numPr>
          <w:ilvl w:val="0"/>
          <w:numId w:val="4"/>
        </w:numPr>
        <w:tabs>
          <w:tab w:val="clear" w:pos="1080"/>
          <w:tab w:val="left" w:pos="981"/>
        </w:tabs>
        <w:spacing w:after="240"/>
        <w:ind w:left="2160" w:hanging="1800"/>
        <w:rPr>
          <w:b/>
        </w:rPr>
      </w:pPr>
      <w:r w:rsidRPr="00CC3227">
        <w:rPr>
          <w:b/>
        </w:rPr>
        <w:lastRenderedPageBreak/>
        <w:t xml:space="preserve">Question: </w:t>
      </w:r>
      <w:r w:rsidRPr="00CC3227">
        <w:rPr>
          <w:b/>
        </w:rPr>
        <w:tab/>
      </w:r>
      <w:r w:rsidRPr="00C616DA">
        <w:rPr>
          <w:b/>
        </w:rPr>
        <w:t>Are pooled amounts included in the premium and claims data provided?  Is a distinct listing of pooled claim amounts for each type of coverage available?</w:t>
      </w:r>
    </w:p>
    <w:p w:rsidR="00B77869" w:rsidRPr="00C616DA" w:rsidRDefault="001E75C6" w:rsidP="00C616DA">
      <w:pPr>
        <w:tabs>
          <w:tab w:val="left" w:pos="981"/>
        </w:tabs>
        <w:ind w:left="2160" w:hanging="1440"/>
      </w:pPr>
      <w:r>
        <w:rPr>
          <w:b/>
        </w:rPr>
        <w:tab/>
      </w:r>
      <w:r w:rsidRPr="0019041D">
        <w:rPr>
          <w:b/>
        </w:rPr>
        <w:t>Response:</w:t>
      </w:r>
      <w:r>
        <w:rPr>
          <w:b/>
        </w:rPr>
        <w:tab/>
      </w:r>
      <w:r w:rsidR="00C616DA" w:rsidRPr="00C616DA">
        <w:t>The premium and claims provided are total premium and</w:t>
      </w:r>
      <w:r w:rsidR="00C616DA">
        <w:t xml:space="preserve"> </w:t>
      </w:r>
      <w:r w:rsidR="00C616DA" w:rsidRPr="00C616DA">
        <w:t xml:space="preserve">claims not reduced by pooled amounts.  </w:t>
      </w:r>
      <w:r w:rsidR="00C616DA">
        <w:t>In the 2004 – 2008 experience period, the only pooled claims were $40,116 in 2004 for the State plan.  Type of coverage is not available.</w:t>
      </w:r>
    </w:p>
    <w:p w:rsidR="00B77869" w:rsidRDefault="00B77869" w:rsidP="001E75C6">
      <w:pPr>
        <w:tabs>
          <w:tab w:val="left" w:pos="981"/>
        </w:tabs>
        <w:ind w:left="2160" w:hanging="1440"/>
      </w:pPr>
    </w:p>
    <w:p w:rsidR="00B77869" w:rsidRPr="00C616DA" w:rsidRDefault="00B77869" w:rsidP="00B77869">
      <w:pPr>
        <w:numPr>
          <w:ilvl w:val="0"/>
          <w:numId w:val="4"/>
        </w:numPr>
        <w:tabs>
          <w:tab w:val="clear" w:pos="1080"/>
          <w:tab w:val="left" w:pos="981"/>
        </w:tabs>
        <w:spacing w:after="240"/>
        <w:ind w:left="2160" w:hanging="1800"/>
        <w:rPr>
          <w:b/>
        </w:rPr>
      </w:pPr>
      <w:r w:rsidRPr="00CC3227">
        <w:rPr>
          <w:b/>
        </w:rPr>
        <w:t xml:space="preserve">Question: </w:t>
      </w:r>
      <w:r>
        <w:rPr>
          <w:b/>
        </w:rPr>
        <w:tab/>
      </w:r>
      <w:r w:rsidRPr="00C616DA">
        <w:rPr>
          <w:b/>
        </w:rPr>
        <w:t>Is it possible to obtain the table of reserve factors used for disabled employees?</w:t>
      </w:r>
    </w:p>
    <w:p w:rsidR="00B77869" w:rsidRDefault="00B77869" w:rsidP="00571A84">
      <w:pPr>
        <w:tabs>
          <w:tab w:val="left" w:pos="981"/>
        </w:tabs>
        <w:spacing w:after="240"/>
        <w:ind w:left="2160" w:hanging="1440"/>
      </w:pPr>
      <w:r>
        <w:rPr>
          <w:b/>
        </w:rPr>
        <w:tab/>
      </w:r>
      <w:r w:rsidRPr="0019041D">
        <w:rPr>
          <w:b/>
        </w:rPr>
        <w:t>Response:</w:t>
      </w:r>
      <w:r>
        <w:rPr>
          <w:b/>
        </w:rPr>
        <w:tab/>
      </w:r>
      <w:r w:rsidR="00571A84">
        <w:t>The table of</w:t>
      </w:r>
      <w:r w:rsidR="000564BF">
        <w:t xml:space="preserve"> disability reserve factors was</w:t>
      </w:r>
      <w:r w:rsidR="00571A84">
        <w:t xml:space="preserve"> provided in the financial agreement.</w:t>
      </w:r>
    </w:p>
    <w:p w:rsidR="00B77869" w:rsidRPr="00C616DA" w:rsidRDefault="00B77869" w:rsidP="00B77869">
      <w:pPr>
        <w:numPr>
          <w:ilvl w:val="0"/>
          <w:numId w:val="4"/>
        </w:numPr>
        <w:tabs>
          <w:tab w:val="clear" w:pos="1080"/>
          <w:tab w:val="left" w:pos="981"/>
        </w:tabs>
        <w:spacing w:after="240"/>
        <w:ind w:left="2160" w:hanging="1800"/>
        <w:rPr>
          <w:b/>
        </w:rPr>
      </w:pPr>
      <w:r w:rsidRPr="00CC3227">
        <w:rPr>
          <w:b/>
        </w:rPr>
        <w:t xml:space="preserve">Question: </w:t>
      </w:r>
      <w:r>
        <w:rPr>
          <w:b/>
        </w:rPr>
        <w:tab/>
      </w:r>
      <w:r w:rsidRPr="00C616DA">
        <w:rPr>
          <w:b/>
        </w:rPr>
        <w:t>On average, how many local governmental groups exit and enter the plan every year?</w:t>
      </w:r>
    </w:p>
    <w:p w:rsidR="00B77869" w:rsidRDefault="00B77869" w:rsidP="00B77869">
      <w:pPr>
        <w:tabs>
          <w:tab w:val="left" w:pos="981"/>
        </w:tabs>
        <w:ind w:left="2160" w:hanging="1440"/>
      </w:pPr>
      <w:r w:rsidRPr="007A07CB">
        <w:tab/>
      </w:r>
      <w:r w:rsidRPr="007A07CB">
        <w:rPr>
          <w:b/>
        </w:rPr>
        <w:t>Response:</w:t>
      </w:r>
      <w:r w:rsidRPr="007A07CB">
        <w:tab/>
      </w:r>
      <w:r w:rsidR="007A07CB" w:rsidRPr="007A07CB">
        <w:t xml:space="preserve">About 10-12 </w:t>
      </w:r>
      <w:r w:rsidR="007A07CB">
        <w:t xml:space="preserve">are </w:t>
      </w:r>
      <w:r w:rsidR="007A07CB" w:rsidRPr="007A07CB">
        <w:t>added and none exit</w:t>
      </w:r>
      <w:r>
        <w:t>.</w:t>
      </w:r>
    </w:p>
    <w:p w:rsidR="00184E40" w:rsidRDefault="00184E40" w:rsidP="00B77869">
      <w:pPr>
        <w:tabs>
          <w:tab w:val="left" w:pos="981"/>
        </w:tabs>
        <w:ind w:left="2160" w:hanging="1440"/>
      </w:pPr>
    </w:p>
    <w:p w:rsidR="00184E40" w:rsidRPr="00C616DA" w:rsidRDefault="00184E40" w:rsidP="00184E40">
      <w:pPr>
        <w:numPr>
          <w:ilvl w:val="0"/>
          <w:numId w:val="4"/>
        </w:numPr>
        <w:tabs>
          <w:tab w:val="clear" w:pos="1080"/>
          <w:tab w:val="left" w:pos="981"/>
        </w:tabs>
        <w:spacing w:after="240"/>
        <w:ind w:left="2160" w:hanging="1800"/>
        <w:rPr>
          <w:b/>
        </w:rPr>
      </w:pPr>
      <w:r w:rsidRPr="00CC3227">
        <w:rPr>
          <w:b/>
        </w:rPr>
        <w:t xml:space="preserve">Question: </w:t>
      </w:r>
      <w:r>
        <w:rPr>
          <w:b/>
        </w:rPr>
        <w:tab/>
      </w:r>
      <w:r w:rsidRPr="00C616DA">
        <w:rPr>
          <w:b/>
        </w:rPr>
        <w:t>Why is the plan currently out to bid?  Is this marketing required by state statute?  Would the state seriously consider a change in carriers?</w:t>
      </w:r>
    </w:p>
    <w:p w:rsidR="00184E40" w:rsidRPr="001854E8" w:rsidRDefault="00184E40" w:rsidP="00184E40">
      <w:pPr>
        <w:tabs>
          <w:tab w:val="left" w:pos="981"/>
        </w:tabs>
        <w:spacing w:after="240"/>
        <w:ind w:left="2160" w:hanging="1440"/>
      </w:pPr>
      <w:r>
        <w:rPr>
          <w:b/>
        </w:rPr>
        <w:tab/>
      </w:r>
      <w:r w:rsidRPr="0019041D">
        <w:rPr>
          <w:b/>
        </w:rPr>
        <w:t>Response:</w:t>
      </w:r>
      <w:r>
        <w:rPr>
          <w:b/>
        </w:rPr>
        <w:tab/>
      </w:r>
      <w:r w:rsidR="001854E8" w:rsidRPr="001854E8">
        <w:t xml:space="preserve">The Group Insurance Board contracts for </w:t>
      </w:r>
      <w:r w:rsidR="001854E8">
        <w:t>third party administrators t</w:t>
      </w:r>
      <w:r w:rsidR="001854E8" w:rsidRPr="001854E8">
        <w:t>ypically go out to bud every 5-7 years.</w:t>
      </w:r>
      <w:r w:rsidR="000D5710">
        <w:t xml:space="preserve">  The State will consider a change in carriers based on the RFP requirements.</w:t>
      </w:r>
    </w:p>
    <w:p w:rsidR="00184E40" w:rsidRPr="00C616DA" w:rsidRDefault="00184E40" w:rsidP="00184E40">
      <w:pPr>
        <w:numPr>
          <w:ilvl w:val="0"/>
          <w:numId w:val="4"/>
        </w:numPr>
        <w:tabs>
          <w:tab w:val="clear" w:pos="1080"/>
          <w:tab w:val="left" w:pos="981"/>
        </w:tabs>
        <w:spacing w:after="240"/>
        <w:ind w:left="2160" w:hanging="1800"/>
        <w:rPr>
          <w:b/>
        </w:rPr>
      </w:pPr>
      <w:r w:rsidRPr="00CC3227">
        <w:rPr>
          <w:b/>
        </w:rPr>
        <w:t xml:space="preserve">Question: </w:t>
      </w:r>
      <w:r>
        <w:rPr>
          <w:b/>
        </w:rPr>
        <w:tab/>
      </w:r>
      <w:r w:rsidRPr="00C616DA">
        <w:rPr>
          <w:b/>
        </w:rPr>
        <w:t>Is the state experiencing any administrative (or other) difficulties with the current carrier?</w:t>
      </w:r>
    </w:p>
    <w:p w:rsidR="00184E40" w:rsidRDefault="00184E40" w:rsidP="00184E40">
      <w:pPr>
        <w:tabs>
          <w:tab w:val="left" w:pos="981"/>
        </w:tabs>
        <w:ind w:left="2160" w:hanging="1440"/>
      </w:pPr>
      <w:r>
        <w:rPr>
          <w:b/>
        </w:rPr>
        <w:tab/>
      </w:r>
      <w:r w:rsidRPr="0019041D">
        <w:rPr>
          <w:b/>
        </w:rPr>
        <w:t>Response:</w:t>
      </w:r>
      <w:r>
        <w:rPr>
          <w:b/>
        </w:rPr>
        <w:tab/>
      </w:r>
      <w:r w:rsidR="001854E8" w:rsidRPr="001854E8">
        <w:t>No</w:t>
      </w:r>
      <w:r>
        <w:t>.</w:t>
      </w:r>
    </w:p>
    <w:p w:rsidR="0071336A" w:rsidRDefault="0071336A" w:rsidP="00184E40">
      <w:pPr>
        <w:tabs>
          <w:tab w:val="left" w:pos="981"/>
        </w:tabs>
        <w:ind w:left="2160" w:hanging="1440"/>
      </w:pPr>
    </w:p>
    <w:p w:rsidR="0071336A" w:rsidRPr="00C616DA" w:rsidRDefault="0071336A" w:rsidP="0071336A">
      <w:pPr>
        <w:numPr>
          <w:ilvl w:val="0"/>
          <w:numId w:val="4"/>
        </w:numPr>
        <w:tabs>
          <w:tab w:val="clear" w:pos="1080"/>
          <w:tab w:val="left" w:pos="981"/>
        </w:tabs>
        <w:spacing w:after="240"/>
        <w:ind w:left="2160" w:hanging="1800"/>
        <w:rPr>
          <w:b/>
        </w:rPr>
      </w:pPr>
      <w:r w:rsidRPr="00CC3227">
        <w:rPr>
          <w:b/>
        </w:rPr>
        <w:t xml:space="preserve">Question: </w:t>
      </w:r>
      <w:r>
        <w:rPr>
          <w:b/>
        </w:rPr>
        <w:tab/>
      </w:r>
      <w:r w:rsidRPr="00C616DA">
        <w:rPr>
          <w:b/>
        </w:rPr>
        <w:t>Would the state consider a 1/1/12 effective date?</w:t>
      </w:r>
    </w:p>
    <w:p w:rsidR="0071336A" w:rsidRDefault="0071336A" w:rsidP="0071336A">
      <w:pPr>
        <w:tabs>
          <w:tab w:val="left" w:pos="981"/>
        </w:tabs>
        <w:ind w:left="2160" w:hanging="1440"/>
      </w:pPr>
      <w:r>
        <w:rPr>
          <w:b/>
        </w:rPr>
        <w:tab/>
      </w:r>
      <w:r w:rsidRPr="0019041D">
        <w:rPr>
          <w:b/>
        </w:rPr>
        <w:t>Response:</w:t>
      </w:r>
      <w:r>
        <w:rPr>
          <w:b/>
        </w:rPr>
        <w:tab/>
      </w:r>
      <w:r w:rsidR="001854E8" w:rsidRPr="001854E8">
        <w:t>No</w:t>
      </w:r>
      <w:r>
        <w:t>.</w:t>
      </w:r>
    </w:p>
    <w:p w:rsidR="0071336A" w:rsidRDefault="0071336A" w:rsidP="0071336A">
      <w:pPr>
        <w:tabs>
          <w:tab w:val="left" w:pos="981"/>
        </w:tabs>
        <w:ind w:left="2160" w:hanging="1440"/>
      </w:pPr>
    </w:p>
    <w:p w:rsidR="0071336A" w:rsidRPr="00C616DA" w:rsidRDefault="0071336A" w:rsidP="0071336A">
      <w:pPr>
        <w:numPr>
          <w:ilvl w:val="0"/>
          <w:numId w:val="4"/>
        </w:numPr>
        <w:tabs>
          <w:tab w:val="clear" w:pos="1080"/>
          <w:tab w:val="left" w:pos="981"/>
        </w:tabs>
        <w:spacing w:after="240"/>
        <w:ind w:left="2160" w:hanging="1800"/>
        <w:rPr>
          <w:b/>
        </w:rPr>
      </w:pPr>
      <w:r w:rsidRPr="0071336A">
        <w:rPr>
          <w:b/>
        </w:rPr>
        <w:t xml:space="preserve">Question: </w:t>
      </w:r>
      <w:r w:rsidRPr="0071336A">
        <w:rPr>
          <w:b/>
        </w:rPr>
        <w:tab/>
      </w:r>
      <w:r w:rsidRPr="00C616DA">
        <w:rPr>
          <w:b/>
        </w:rPr>
        <w:t xml:space="preserve">Exactly how many billing groups are there?  Does each remit their </w:t>
      </w:r>
      <w:r w:rsidR="002A01BC" w:rsidRPr="00C616DA">
        <w:rPr>
          <w:b/>
        </w:rPr>
        <w:t>own premium</w:t>
      </w:r>
      <w:r w:rsidRPr="00C616DA">
        <w:rPr>
          <w:b/>
        </w:rPr>
        <w:t>?</w:t>
      </w:r>
    </w:p>
    <w:p w:rsidR="0071336A" w:rsidRPr="002A01BC" w:rsidRDefault="0071336A" w:rsidP="0071336A">
      <w:pPr>
        <w:tabs>
          <w:tab w:val="left" w:pos="981"/>
        </w:tabs>
        <w:ind w:left="2160" w:hanging="1440"/>
      </w:pPr>
      <w:r>
        <w:rPr>
          <w:b/>
        </w:rPr>
        <w:tab/>
      </w:r>
      <w:r w:rsidRPr="0019041D">
        <w:rPr>
          <w:b/>
        </w:rPr>
        <w:t>Response:</w:t>
      </w:r>
      <w:r>
        <w:rPr>
          <w:b/>
        </w:rPr>
        <w:tab/>
      </w:r>
      <w:r w:rsidR="002A01BC" w:rsidRPr="002A01BC">
        <w:t xml:space="preserve">There are approximately 150 State billing units </w:t>
      </w:r>
      <w:r w:rsidR="002A01BC">
        <w:t>and 1,010 local government units that MN</w:t>
      </w:r>
      <w:r w:rsidR="002A01BC" w:rsidRPr="002A01BC">
        <w:t xml:space="preserve"> Life </w:t>
      </w:r>
      <w:r w:rsidR="002A01BC">
        <w:t>reconciles</w:t>
      </w:r>
      <w:r w:rsidR="002A01BC" w:rsidRPr="002A01BC">
        <w:t xml:space="preserve"> premium for </w:t>
      </w:r>
      <w:r w:rsidR="002A01BC">
        <w:t>each month</w:t>
      </w:r>
      <w:r w:rsidRPr="002A01BC">
        <w:t>.</w:t>
      </w:r>
    </w:p>
    <w:p w:rsidR="0071336A" w:rsidRDefault="0071336A" w:rsidP="0071336A">
      <w:pPr>
        <w:tabs>
          <w:tab w:val="left" w:pos="981"/>
        </w:tabs>
        <w:ind w:left="2160" w:hanging="1440"/>
      </w:pPr>
    </w:p>
    <w:p w:rsidR="0071336A" w:rsidRPr="0071336A" w:rsidRDefault="0071336A" w:rsidP="0071336A">
      <w:pPr>
        <w:numPr>
          <w:ilvl w:val="0"/>
          <w:numId w:val="4"/>
        </w:numPr>
        <w:tabs>
          <w:tab w:val="clear" w:pos="1080"/>
          <w:tab w:val="left" w:pos="981"/>
        </w:tabs>
        <w:spacing w:after="240"/>
        <w:ind w:left="2160" w:hanging="1800"/>
      </w:pPr>
      <w:r w:rsidRPr="0071336A">
        <w:rPr>
          <w:b/>
        </w:rPr>
        <w:t xml:space="preserve">Question: </w:t>
      </w:r>
      <w:r w:rsidRPr="0071336A">
        <w:rPr>
          <w:b/>
        </w:rPr>
        <w:tab/>
      </w:r>
      <w:r w:rsidRPr="00C616DA">
        <w:rPr>
          <w:b/>
        </w:rPr>
        <w:t>How many different payroll systems interact with MN</w:t>
      </w:r>
      <w:r w:rsidR="00674332" w:rsidRPr="00C616DA">
        <w:rPr>
          <w:b/>
        </w:rPr>
        <w:t xml:space="preserve"> Life</w:t>
      </w:r>
      <w:r w:rsidRPr="00C616DA">
        <w:rPr>
          <w:b/>
        </w:rPr>
        <w:t>?</w:t>
      </w:r>
    </w:p>
    <w:p w:rsidR="0071336A" w:rsidRPr="00793500" w:rsidRDefault="0071336A" w:rsidP="0071336A">
      <w:pPr>
        <w:tabs>
          <w:tab w:val="left" w:pos="981"/>
        </w:tabs>
        <w:ind w:left="2160" w:hanging="1440"/>
      </w:pPr>
      <w:r>
        <w:rPr>
          <w:b/>
        </w:rPr>
        <w:tab/>
      </w:r>
      <w:r w:rsidRPr="0019041D">
        <w:rPr>
          <w:b/>
        </w:rPr>
        <w:t>Response:</w:t>
      </w:r>
      <w:r>
        <w:rPr>
          <w:b/>
        </w:rPr>
        <w:tab/>
      </w:r>
      <w:r w:rsidR="00793500" w:rsidRPr="002A08B7">
        <w:t xml:space="preserve">There are approximately 750 payroll systems.  </w:t>
      </w:r>
      <w:r w:rsidR="002A08B7">
        <w:t xml:space="preserve">Approximately 707 local employers participate </w:t>
      </w:r>
      <w:r w:rsidR="00793500" w:rsidRPr="002A08B7">
        <w:t xml:space="preserve">and </w:t>
      </w:r>
      <w:r w:rsidR="002A08B7">
        <w:t xml:space="preserve">there are </w:t>
      </w:r>
      <w:r w:rsidR="00793500" w:rsidRPr="002A08B7">
        <w:t>5 payroll systems for the State</w:t>
      </w:r>
      <w:r w:rsidR="00FE2FD0" w:rsidRPr="002A08B7">
        <w:t xml:space="preserve"> of Wisconsin</w:t>
      </w:r>
      <w:r w:rsidR="00793500" w:rsidRPr="002A08B7">
        <w:t>.</w:t>
      </w:r>
    </w:p>
    <w:p w:rsidR="0071336A" w:rsidRDefault="0071336A" w:rsidP="0071336A">
      <w:pPr>
        <w:tabs>
          <w:tab w:val="left" w:pos="981"/>
        </w:tabs>
        <w:ind w:left="2160" w:hanging="1440"/>
      </w:pPr>
    </w:p>
    <w:p w:rsidR="00547B77" w:rsidRPr="00C616DA" w:rsidRDefault="00547B77" w:rsidP="00547B77">
      <w:pPr>
        <w:numPr>
          <w:ilvl w:val="0"/>
          <w:numId w:val="4"/>
        </w:numPr>
        <w:tabs>
          <w:tab w:val="clear" w:pos="1080"/>
          <w:tab w:val="left" w:pos="981"/>
        </w:tabs>
        <w:spacing w:after="240"/>
        <w:ind w:left="2160" w:hanging="1800"/>
        <w:rPr>
          <w:b/>
        </w:rPr>
      </w:pPr>
      <w:r w:rsidRPr="0071336A">
        <w:rPr>
          <w:b/>
        </w:rPr>
        <w:t xml:space="preserve">Question: </w:t>
      </w:r>
      <w:r w:rsidRPr="0071336A">
        <w:rPr>
          <w:b/>
        </w:rPr>
        <w:tab/>
      </w:r>
      <w:r w:rsidRPr="00C616DA">
        <w:rPr>
          <w:b/>
        </w:rPr>
        <w:t>How many employees does MN currently dedicate to the State of Wisconsin account?</w:t>
      </w:r>
    </w:p>
    <w:p w:rsidR="00547B77" w:rsidRPr="00793500" w:rsidRDefault="00547B77" w:rsidP="00547B77">
      <w:pPr>
        <w:tabs>
          <w:tab w:val="left" w:pos="981"/>
        </w:tabs>
        <w:ind w:left="2160" w:hanging="1440"/>
      </w:pPr>
      <w:r>
        <w:rPr>
          <w:b/>
        </w:rPr>
        <w:tab/>
      </w:r>
      <w:r w:rsidRPr="0019041D">
        <w:rPr>
          <w:b/>
        </w:rPr>
        <w:t>Response:</w:t>
      </w:r>
      <w:r>
        <w:rPr>
          <w:b/>
        </w:rPr>
        <w:tab/>
      </w:r>
      <w:r w:rsidR="00793500" w:rsidRPr="00793500">
        <w:t>The</w:t>
      </w:r>
      <w:r w:rsidR="00793500">
        <w:rPr>
          <w:b/>
        </w:rPr>
        <w:t xml:space="preserve"> </w:t>
      </w:r>
      <w:r w:rsidR="00793500" w:rsidRPr="00793500">
        <w:t xml:space="preserve">Madison branch office has 8 associates dedicated to the State </w:t>
      </w:r>
      <w:r w:rsidR="00793500">
        <w:t xml:space="preserve">as well as support from the MN Life home office of over </w:t>
      </w:r>
      <w:r w:rsidR="00793500" w:rsidRPr="00793500">
        <w:t>300 associates</w:t>
      </w:r>
      <w:r w:rsidRPr="00793500">
        <w:t>.</w:t>
      </w:r>
    </w:p>
    <w:p w:rsidR="00F02E95" w:rsidRDefault="00F02E95" w:rsidP="00547B77">
      <w:pPr>
        <w:tabs>
          <w:tab w:val="left" w:pos="981"/>
        </w:tabs>
        <w:ind w:left="2160" w:hanging="1440"/>
      </w:pPr>
    </w:p>
    <w:p w:rsidR="00F02E95" w:rsidRPr="00C616DA" w:rsidRDefault="00F02E95" w:rsidP="00F02E95">
      <w:pPr>
        <w:numPr>
          <w:ilvl w:val="0"/>
          <w:numId w:val="4"/>
        </w:numPr>
        <w:tabs>
          <w:tab w:val="clear" w:pos="1080"/>
          <w:tab w:val="left" w:pos="981"/>
        </w:tabs>
        <w:spacing w:after="240"/>
        <w:ind w:left="2160" w:hanging="1800"/>
        <w:rPr>
          <w:b/>
        </w:rPr>
      </w:pPr>
      <w:r w:rsidRPr="0071336A">
        <w:rPr>
          <w:b/>
        </w:rPr>
        <w:t xml:space="preserve">Question: </w:t>
      </w:r>
      <w:r w:rsidRPr="0071336A">
        <w:rPr>
          <w:b/>
        </w:rPr>
        <w:tab/>
      </w:r>
      <w:r w:rsidRPr="00C616DA">
        <w:rPr>
          <w:b/>
        </w:rPr>
        <w:t>For ADD may we please obtain an individual claim listing or number of claims by applicable period? For ADD, may we please obtain a census with job occupations?  It appears that ADD is only applicable to active employees but please confirm that ADD is not applicable to Retirees and Dependents as well?</w:t>
      </w:r>
    </w:p>
    <w:p w:rsidR="00FD56BC" w:rsidRDefault="00F02E95" w:rsidP="00FD56BC">
      <w:pPr>
        <w:tabs>
          <w:tab w:val="left" w:pos="981"/>
        </w:tabs>
        <w:ind w:left="2160" w:hanging="1440"/>
      </w:pPr>
      <w:r>
        <w:rPr>
          <w:b/>
        </w:rPr>
        <w:tab/>
      </w:r>
      <w:r w:rsidRPr="0019041D">
        <w:rPr>
          <w:b/>
        </w:rPr>
        <w:t>Response:</w:t>
      </w:r>
      <w:r>
        <w:rPr>
          <w:b/>
        </w:rPr>
        <w:tab/>
      </w:r>
      <w:r w:rsidR="00FD56BC">
        <w:t>Number of claims by period is provided below.</w:t>
      </w:r>
      <w:r w:rsidR="003441AA">
        <w:t xml:space="preserve">  A census wit</w:t>
      </w:r>
      <w:r w:rsidR="00FD56BC">
        <w:t>h job occupation is not available.  ADD is applicable to active employees as well as pre-age 65 retirees.</w:t>
      </w:r>
    </w:p>
    <w:p w:rsidR="0025515F" w:rsidRDefault="0025515F" w:rsidP="00FD56BC">
      <w:pPr>
        <w:tabs>
          <w:tab w:val="left" w:pos="981"/>
        </w:tabs>
        <w:ind w:left="2160" w:hanging="1440"/>
      </w:pPr>
    </w:p>
    <w:p w:rsidR="0025515F" w:rsidRDefault="0025515F" w:rsidP="00C208C9">
      <w:pPr>
        <w:tabs>
          <w:tab w:val="left" w:pos="981"/>
        </w:tabs>
        <w:spacing w:after="120"/>
        <w:ind w:left="2160" w:hanging="1440"/>
      </w:pPr>
      <w:r>
        <w:tab/>
      </w:r>
      <w:r>
        <w:tab/>
        <w:t>Number of ADD Claims:</w:t>
      </w:r>
    </w:p>
    <w:tbl>
      <w:tblPr>
        <w:tblW w:w="0" w:type="auto"/>
        <w:tblInd w:w="28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80"/>
        <w:gridCol w:w="1620"/>
        <w:gridCol w:w="1800"/>
      </w:tblGrid>
      <w:tr w:rsidR="003F17AE" w:rsidTr="003F17AE">
        <w:tc>
          <w:tcPr>
            <w:tcW w:w="1080" w:type="dxa"/>
          </w:tcPr>
          <w:p w:rsidR="0025515F" w:rsidRDefault="0025515F" w:rsidP="003F17AE">
            <w:pPr>
              <w:tabs>
                <w:tab w:val="left" w:pos="981"/>
              </w:tabs>
            </w:pPr>
          </w:p>
        </w:tc>
        <w:tc>
          <w:tcPr>
            <w:tcW w:w="1620" w:type="dxa"/>
          </w:tcPr>
          <w:p w:rsidR="0025515F" w:rsidRDefault="0025515F" w:rsidP="003F17AE">
            <w:pPr>
              <w:tabs>
                <w:tab w:val="left" w:pos="981"/>
              </w:tabs>
              <w:jc w:val="center"/>
            </w:pPr>
            <w:r>
              <w:t>State</w:t>
            </w:r>
          </w:p>
        </w:tc>
        <w:tc>
          <w:tcPr>
            <w:tcW w:w="1800" w:type="dxa"/>
          </w:tcPr>
          <w:p w:rsidR="0025515F" w:rsidRDefault="0025515F" w:rsidP="003F17AE">
            <w:pPr>
              <w:tabs>
                <w:tab w:val="left" w:pos="981"/>
              </w:tabs>
              <w:jc w:val="center"/>
            </w:pPr>
            <w:r>
              <w:t>Local</w:t>
            </w:r>
          </w:p>
        </w:tc>
      </w:tr>
      <w:tr w:rsidR="003F17AE" w:rsidTr="003F17AE">
        <w:tc>
          <w:tcPr>
            <w:tcW w:w="1080" w:type="dxa"/>
          </w:tcPr>
          <w:p w:rsidR="0025515F" w:rsidRDefault="0025515F" w:rsidP="003F17AE">
            <w:pPr>
              <w:tabs>
                <w:tab w:val="left" w:pos="981"/>
              </w:tabs>
            </w:pPr>
            <w:r>
              <w:t>2004</w:t>
            </w:r>
          </w:p>
        </w:tc>
        <w:tc>
          <w:tcPr>
            <w:tcW w:w="1620" w:type="dxa"/>
          </w:tcPr>
          <w:p w:rsidR="0025515F" w:rsidRDefault="0025515F" w:rsidP="003F17AE">
            <w:pPr>
              <w:tabs>
                <w:tab w:val="left" w:pos="981"/>
              </w:tabs>
              <w:jc w:val="center"/>
            </w:pPr>
            <w:r>
              <w:t>10</w:t>
            </w:r>
          </w:p>
        </w:tc>
        <w:tc>
          <w:tcPr>
            <w:tcW w:w="1800" w:type="dxa"/>
          </w:tcPr>
          <w:p w:rsidR="0025515F" w:rsidRDefault="0025515F" w:rsidP="003F17AE">
            <w:pPr>
              <w:tabs>
                <w:tab w:val="left" w:pos="981"/>
              </w:tabs>
              <w:jc w:val="center"/>
            </w:pPr>
            <w:r>
              <w:t>14</w:t>
            </w:r>
          </w:p>
        </w:tc>
      </w:tr>
      <w:tr w:rsidR="003F17AE" w:rsidTr="003F17AE">
        <w:tc>
          <w:tcPr>
            <w:tcW w:w="1080" w:type="dxa"/>
          </w:tcPr>
          <w:p w:rsidR="0025515F" w:rsidRDefault="0025515F" w:rsidP="003F17AE">
            <w:pPr>
              <w:tabs>
                <w:tab w:val="left" w:pos="981"/>
              </w:tabs>
            </w:pPr>
            <w:r>
              <w:t>2005</w:t>
            </w:r>
          </w:p>
        </w:tc>
        <w:tc>
          <w:tcPr>
            <w:tcW w:w="1620" w:type="dxa"/>
          </w:tcPr>
          <w:p w:rsidR="0025515F" w:rsidRDefault="0025515F" w:rsidP="003F17AE">
            <w:pPr>
              <w:tabs>
                <w:tab w:val="left" w:pos="981"/>
              </w:tabs>
              <w:jc w:val="center"/>
            </w:pPr>
            <w:r>
              <w:t>11</w:t>
            </w:r>
          </w:p>
        </w:tc>
        <w:tc>
          <w:tcPr>
            <w:tcW w:w="1800" w:type="dxa"/>
          </w:tcPr>
          <w:p w:rsidR="0025515F" w:rsidRDefault="0025515F" w:rsidP="003F17AE">
            <w:pPr>
              <w:tabs>
                <w:tab w:val="left" w:pos="981"/>
              </w:tabs>
              <w:jc w:val="center"/>
            </w:pPr>
            <w:r>
              <w:t>11</w:t>
            </w:r>
          </w:p>
        </w:tc>
      </w:tr>
      <w:tr w:rsidR="003F17AE" w:rsidTr="003F17AE">
        <w:tc>
          <w:tcPr>
            <w:tcW w:w="1080" w:type="dxa"/>
          </w:tcPr>
          <w:p w:rsidR="0025515F" w:rsidRDefault="0025515F" w:rsidP="003F17AE">
            <w:pPr>
              <w:tabs>
                <w:tab w:val="left" w:pos="981"/>
              </w:tabs>
            </w:pPr>
            <w:r>
              <w:t>2006</w:t>
            </w:r>
          </w:p>
        </w:tc>
        <w:tc>
          <w:tcPr>
            <w:tcW w:w="1620" w:type="dxa"/>
          </w:tcPr>
          <w:p w:rsidR="0025515F" w:rsidRDefault="0025515F" w:rsidP="003F17AE">
            <w:pPr>
              <w:tabs>
                <w:tab w:val="left" w:pos="981"/>
              </w:tabs>
              <w:jc w:val="center"/>
            </w:pPr>
            <w:r>
              <w:t>8</w:t>
            </w:r>
          </w:p>
        </w:tc>
        <w:tc>
          <w:tcPr>
            <w:tcW w:w="1800" w:type="dxa"/>
          </w:tcPr>
          <w:p w:rsidR="0025515F" w:rsidRDefault="0025515F" w:rsidP="003F17AE">
            <w:pPr>
              <w:tabs>
                <w:tab w:val="left" w:pos="981"/>
              </w:tabs>
              <w:jc w:val="center"/>
            </w:pPr>
            <w:r>
              <w:t>17</w:t>
            </w:r>
          </w:p>
        </w:tc>
      </w:tr>
      <w:tr w:rsidR="003F17AE" w:rsidTr="003F17AE">
        <w:tc>
          <w:tcPr>
            <w:tcW w:w="1080" w:type="dxa"/>
          </w:tcPr>
          <w:p w:rsidR="0025515F" w:rsidRDefault="0025515F" w:rsidP="003F17AE">
            <w:pPr>
              <w:tabs>
                <w:tab w:val="left" w:pos="981"/>
              </w:tabs>
            </w:pPr>
            <w:r>
              <w:t>2007</w:t>
            </w:r>
          </w:p>
        </w:tc>
        <w:tc>
          <w:tcPr>
            <w:tcW w:w="1620" w:type="dxa"/>
          </w:tcPr>
          <w:p w:rsidR="0025515F" w:rsidRDefault="0025515F" w:rsidP="003F17AE">
            <w:pPr>
              <w:tabs>
                <w:tab w:val="left" w:pos="981"/>
              </w:tabs>
              <w:jc w:val="center"/>
            </w:pPr>
            <w:r>
              <w:t>7</w:t>
            </w:r>
          </w:p>
        </w:tc>
        <w:tc>
          <w:tcPr>
            <w:tcW w:w="1800" w:type="dxa"/>
          </w:tcPr>
          <w:p w:rsidR="0025515F" w:rsidRDefault="0025515F" w:rsidP="003F17AE">
            <w:pPr>
              <w:tabs>
                <w:tab w:val="left" w:pos="981"/>
              </w:tabs>
              <w:jc w:val="center"/>
            </w:pPr>
            <w:r>
              <w:t>13</w:t>
            </w:r>
          </w:p>
        </w:tc>
      </w:tr>
      <w:tr w:rsidR="003F17AE" w:rsidTr="003F17AE">
        <w:tc>
          <w:tcPr>
            <w:tcW w:w="1080" w:type="dxa"/>
          </w:tcPr>
          <w:p w:rsidR="0025515F" w:rsidRDefault="0025515F" w:rsidP="003F17AE">
            <w:pPr>
              <w:tabs>
                <w:tab w:val="left" w:pos="981"/>
              </w:tabs>
            </w:pPr>
            <w:r>
              <w:t>2008</w:t>
            </w:r>
          </w:p>
        </w:tc>
        <w:tc>
          <w:tcPr>
            <w:tcW w:w="1620" w:type="dxa"/>
          </w:tcPr>
          <w:p w:rsidR="0025515F" w:rsidRDefault="0025515F" w:rsidP="003F17AE">
            <w:pPr>
              <w:tabs>
                <w:tab w:val="left" w:pos="981"/>
              </w:tabs>
              <w:jc w:val="center"/>
            </w:pPr>
            <w:r>
              <w:t>8</w:t>
            </w:r>
          </w:p>
        </w:tc>
        <w:tc>
          <w:tcPr>
            <w:tcW w:w="1800" w:type="dxa"/>
          </w:tcPr>
          <w:p w:rsidR="0025515F" w:rsidRDefault="0025515F" w:rsidP="003F17AE">
            <w:pPr>
              <w:tabs>
                <w:tab w:val="left" w:pos="981"/>
              </w:tabs>
              <w:jc w:val="center"/>
            </w:pPr>
            <w:r>
              <w:t>13</w:t>
            </w:r>
          </w:p>
        </w:tc>
      </w:tr>
    </w:tbl>
    <w:p w:rsidR="00CC3227" w:rsidRPr="0019041D" w:rsidRDefault="00CC3227" w:rsidP="0025515F">
      <w:pPr>
        <w:rPr>
          <w:b/>
        </w:rPr>
      </w:pPr>
    </w:p>
    <w:sectPr w:rsidR="00CC3227" w:rsidRPr="0019041D" w:rsidSect="007B373E">
      <w:headerReference w:type="default" r:id="rId7"/>
      <w:footerReference w:type="default" r:id="rId8"/>
      <w:pgSz w:w="12240" w:h="15840"/>
      <w:pgMar w:top="720" w:right="1584" w:bottom="1440" w:left="1584"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17AE" w:rsidRDefault="003F17AE">
      <w:r>
        <w:separator/>
      </w:r>
    </w:p>
  </w:endnote>
  <w:endnote w:type="continuationSeparator" w:id="0">
    <w:p w:rsidR="003F17AE" w:rsidRDefault="003F17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F25" w:rsidRPr="007B373E" w:rsidRDefault="00926F25">
    <w:pPr>
      <w:pStyle w:val="Footer"/>
      <w:rPr>
        <w:sz w:val="20"/>
        <w:szCs w:val="20"/>
      </w:rPr>
    </w:pPr>
    <w:r>
      <w:tab/>
    </w:r>
    <w:r w:rsidR="00954E5A" w:rsidRPr="007B373E">
      <w:rPr>
        <w:sz w:val="20"/>
        <w:szCs w:val="20"/>
      </w:rPr>
      <w:fldChar w:fldCharType="begin"/>
    </w:r>
    <w:r w:rsidRPr="007B373E">
      <w:rPr>
        <w:sz w:val="20"/>
        <w:szCs w:val="20"/>
      </w:rPr>
      <w:instrText xml:space="preserve"> PAGE </w:instrText>
    </w:r>
    <w:r w:rsidR="00954E5A" w:rsidRPr="007B373E">
      <w:rPr>
        <w:sz w:val="20"/>
        <w:szCs w:val="20"/>
      </w:rPr>
      <w:fldChar w:fldCharType="separate"/>
    </w:r>
    <w:r w:rsidR="00160C5E">
      <w:rPr>
        <w:noProof/>
        <w:sz w:val="20"/>
        <w:szCs w:val="20"/>
      </w:rPr>
      <w:t>2</w:t>
    </w:r>
    <w:r w:rsidR="00954E5A" w:rsidRPr="007B373E">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17AE" w:rsidRDefault="003F17AE">
      <w:r>
        <w:separator/>
      </w:r>
    </w:p>
  </w:footnote>
  <w:footnote w:type="continuationSeparator" w:id="0">
    <w:p w:rsidR="003F17AE" w:rsidRDefault="003F17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F25" w:rsidRPr="007B373E" w:rsidRDefault="00926F25">
    <w:pPr>
      <w:pStyle w:val="Header"/>
      <w:rPr>
        <w:sz w:val="22"/>
        <w:szCs w:val="22"/>
      </w:rPr>
    </w:pPr>
    <w:r w:rsidRPr="007B373E">
      <w:rPr>
        <w:sz w:val="22"/>
        <w:szCs w:val="22"/>
      </w:rPr>
      <w:t xml:space="preserve">Responses to </w:t>
    </w:r>
    <w:r>
      <w:rPr>
        <w:sz w:val="22"/>
        <w:szCs w:val="22"/>
      </w:rPr>
      <w:t>Qu</w:t>
    </w:r>
    <w:r w:rsidRPr="007B373E">
      <w:rPr>
        <w:sz w:val="22"/>
        <w:szCs w:val="22"/>
      </w:rPr>
      <w:t xml:space="preserve">estions </w:t>
    </w:r>
    <w:r>
      <w:rPr>
        <w:sz w:val="22"/>
        <w:szCs w:val="22"/>
      </w:rPr>
      <w:t>Submitted Re</w:t>
    </w:r>
    <w:r w:rsidRPr="007B373E">
      <w:rPr>
        <w:sz w:val="22"/>
        <w:szCs w:val="22"/>
      </w:rPr>
      <w:t xml:space="preserve">garding </w:t>
    </w:r>
    <w:r>
      <w:rPr>
        <w:sz w:val="22"/>
        <w:szCs w:val="22"/>
      </w:rPr>
      <w:t>State of Wisconsin</w:t>
    </w:r>
    <w:r w:rsidRPr="007B373E">
      <w:rPr>
        <w:sz w:val="22"/>
        <w:szCs w:val="22"/>
      </w:rPr>
      <w:t xml:space="preserve"> </w:t>
    </w:r>
    <w:r>
      <w:rPr>
        <w:sz w:val="22"/>
        <w:szCs w:val="22"/>
      </w:rPr>
      <w:t xml:space="preserve">Public Employer Group Life Insurance Program Administrator </w:t>
    </w:r>
    <w:r w:rsidRPr="007B373E">
      <w:rPr>
        <w:sz w:val="22"/>
        <w:szCs w:val="22"/>
      </w:rPr>
      <w:t>RFP</w:t>
    </w:r>
  </w:p>
  <w:p w:rsidR="00926F25" w:rsidRPr="007B373E" w:rsidRDefault="00926F25">
    <w:pPr>
      <w:pStyle w:val="Header"/>
      <w:rPr>
        <w:sz w:val="22"/>
        <w:szCs w:val="22"/>
      </w:rPr>
    </w:pPr>
    <w:r w:rsidRPr="007B373E">
      <w:rPr>
        <w:sz w:val="22"/>
        <w:szCs w:val="22"/>
      </w:rPr>
      <w:t>March 2</w:t>
    </w:r>
    <w:r>
      <w:rPr>
        <w:sz w:val="22"/>
        <w:szCs w:val="22"/>
      </w:rPr>
      <w:t>2, 2010</w:t>
    </w:r>
  </w:p>
  <w:p w:rsidR="00926F25" w:rsidRDefault="00926F2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80D6B"/>
    <w:multiLevelType w:val="hybridMultilevel"/>
    <w:tmpl w:val="F32C99E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08497959"/>
    <w:multiLevelType w:val="multilevel"/>
    <w:tmpl w:val="570E2664"/>
    <w:lvl w:ilvl="0">
      <w:numFmt w:val="bullet"/>
      <w:lvlText w:val="-"/>
      <w:lvlJc w:val="left"/>
      <w:pPr>
        <w:tabs>
          <w:tab w:val="num" w:pos="1080"/>
        </w:tabs>
        <w:ind w:left="1080" w:hanging="360"/>
      </w:pPr>
      <w:rPr>
        <w:rFonts w:ascii="Times New Roman" w:eastAsia="Times New Roman" w:hAnsi="Times New Roman" w:cs="Times New Roman" w:hint="default"/>
        <w:color w:val="FF0000"/>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
    <w:nsid w:val="185E01C9"/>
    <w:multiLevelType w:val="hybridMultilevel"/>
    <w:tmpl w:val="6A40B2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F290E22"/>
    <w:multiLevelType w:val="multilevel"/>
    <w:tmpl w:val="B86C7CD2"/>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1480276"/>
    <w:multiLevelType w:val="hybridMultilevel"/>
    <w:tmpl w:val="230AA302"/>
    <w:lvl w:ilvl="0" w:tplc="04090001">
      <w:start w:val="1"/>
      <w:numFmt w:val="bullet"/>
      <w:lvlText w:val=""/>
      <w:lvlJc w:val="left"/>
      <w:pPr>
        <w:tabs>
          <w:tab w:val="num" w:pos="1800"/>
        </w:tabs>
        <w:ind w:left="1800" w:hanging="360"/>
      </w:pPr>
      <w:rPr>
        <w:rFonts w:ascii="Symbol" w:hAnsi="Symbol" w:hint="default"/>
        <w:color w:val="FF000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39454758"/>
    <w:multiLevelType w:val="hybridMultilevel"/>
    <w:tmpl w:val="570E2664"/>
    <w:lvl w:ilvl="0" w:tplc="C4C096D0">
      <w:numFmt w:val="bullet"/>
      <w:lvlText w:val="-"/>
      <w:lvlJc w:val="left"/>
      <w:pPr>
        <w:tabs>
          <w:tab w:val="num" w:pos="1080"/>
        </w:tabs>
        <w:ind w:left="1080" w:hanging="360"/>
      </w:pPr>
      <w:rPr>
        <w:rFonts w:ascii="Times New Roman" w:eastAsia="Times New Roman" w:hAnsi="Times New Roman" w:cs="Times New Roman" w:hint="default"/>
        <w:color w:val="FF000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3ED959C1"/>
    <w:multiLevelType w:val="hybridMultilevel"/>
    <w:tmpl w:val="030E7E5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7">
    <w:nsid w:val="50D77CA2"/>
    <w:multiLevelType w:val="hybridMultilevel"/>
    <w:tmpl w:val="35B27BEC"/>
    <w:lvl w:ilvl="0" w:tplc="04090001">
      <w:start w:val="1"/>
      <w:numFmt w:val="bullet"/>
      <w:lvlText w:val=""/>
      <w:lvlJc w:val="left"/>
      <w:pPr>
        <w:tabs>
          <w:tab w:val="num" w:pos="1800"/>
        </w:tabs>
        <w:ind w:left="1800" w:hanging="360"/>
      </w:pPr>
      <w:rPr>
        <w:rFonts w:ascii="Symbol" w:hAnsi="Symbol" w:hint="default"/>
        <w:color w:val="FF000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5973478E"/>
    <w:multiLevelType w:val="multilevel"/>
    <w:tmpl w:val="230AA302"/>
    <w:lvl w:ilvl="0">
      <w:start w:val="1"/>
      <w:numFmt w:val="bullet"/>
      <w:lvlText w:val=""/>
      <w:lvlJc w:val="left"/>
      <w:pPr>
        <w:tabs>
          <w:tab w:val="num" w:pos="1800"/>
        </w:tabs>
        <w:ind w:left="1800" w:hanging="360"/>
      </w:pPr>
      <w:rPr>
        <w:rFonts w:ascii="Symbol" w:hAnsi="Symbol" w:hint="default"/>
        <w:color w:val="FF0000"/>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9">
    <w:nsid w:val="597B15EE"/>
    <w:multiLevelType w:val="hybridMultilevel"/>
    <w:tmpl w:val="4BA6993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5A122382"/>
    <w:multiLevelType w:val="hybridMultilevel"/>
    <w:tmpl w:val="DE2605F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5DAE138B"/>
    <w:multiLevelType w:val="hybridMultilevel"/>
    <w:tmpl w:val="413CF6B2"/>
    <w:lvl w:ilvl="0" w:tplc="9C2E3EF4">
      <w:start w:val="1"/>
      <w:numFmt w:val="decimal"/>
      <w:lvlText w:val="%1."/>
      <w:lvlJc w:val="left"/>
      <w:pPr>
        <w:tabs>
          <w:tab w:val="num" w:pos="1080"/>
        </w:tabs>
        <w:ind w:left="1080" w:hanging="72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512800B6">
      <w:start w:val="1"/>
      <w:numFmt w:val="decimal"/>
      <w:lvlText w:val="(%4)"/>
      <w:lvlJc w:val="left"/>
      <w:pPr>
        <w:tabs>
          <w:tab w:val="num" w:pos="2910"/>
        </w:tabs>
        <w:ind w:left="2910" w:hanging="390"/>
      </w:pPr>
      <w:rPr>
        <w:rFonts w:hint="default"/>
      </w:rPr>
    </w:lvl>
    <w:lvl w:ilvl="4" w:tplc="04090001">
      <w:start w:val="1"/>
      <w:numFmt w:val="bullet"/>
      <w:lvlText w:val=""/>
      <w:lvlJc w:val="left"/>
      <w:pPr>
        <w:tabs>
          <w:tab w:val="num" w:pos="3600"/>
        </w:tabs>
        <w:ind w:left="3600" w:hanging="360"/>
      </w:pPr>
      <w:rPr>
        <w:rFonts w:ascii="Symbol" w:hAnsi="Symbol"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FA45F65"/>
    <w:multiLevelType w:val="hybridMultilevel"/>
    <w:tmpl w:val="27B4AA58"/>
    <w:lvl w:ilvl="0" w:tplc="D42AEA1E">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608520A2"/>
    <w:multiLevelType w:val="multilevel"/>
    <w:tmpl w:val="6A40B27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6E2A1A5C"/>
    <w:multiLevelType w:val="multilevel"/>
    <w:tmpl w:val="4BA699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9"/>
  </w:num>
  <w:num w:numId="4">
    <w:abstractNumId w:val="11"/>
  </w:num>
  <w:num w:numId="5">
    <w:abstractNumId w:val="3"/>
  </w:num>
  <w:num w:numId="6">
    <w:abstractNumId w:val="13"/>
  </w:num>
  <w:num w:numId="7">
    <w:abstractNumId w:val="14"/>
  </w:num>
  <w:num w:numId="8">
    <w:abstractNumId w:val="0"/>
  </w:num>
  <w:num w:numId="9">
    <w:abstractNumId w:val="6"/>
  </w:num>
  <w:num w:numId="10">
    <w:abstractNumId w:val="5"/>
  </w:num>
  <w:num w:numId="11">
    <w:abstractNumId w:val="12"/>
  </w:num>
  <w:num w:numId="12">
    <w:abstractNumId w:val="1"/>
  </w:num>
  <w:num w:numId="13">
    <w:abstractNumId w:val="4"/>
  </w:num>
  <w:num w:numId="14">
    <w:abstractNumId w:val="8"/>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87E71"/>
    <w:rsid w:val="00031F44"/>
    <w:rsid w:val="000564BF"/>
    <w:rsid w:val="0006145B"/>
    <w:rsid w:val="000A6323"/>
    <w:rsid w:val="000B19F4"/>
    <w:rsid w:val="000D5710"/>
    <w:rsid w:val="000E235D"/>
    <w:rsid w:val="00114311"/>
    <w:rsid w:val="00121B95"/>
    <w:rsid w:val="00133D9C"/>
    <w:rsid w:val="00134167"/>
    <w:rsid w:val="00141CCA"/>
    <w:rsid w:val="001568F1"/>
    <w:rsid w:val="00160C5E"/>
    <w:rsid w:val="00164F60"/>
    <w:rsid w:val="00173FFF"/>
    <w:rsid w:val="00184E40"/>
    <w:rsid w:val="001854E8"/>
    <w:rsid w:val="0019041D"/>
    <w:rsid w:val="00191A01"/>
    <w:rsid w:val="001A4107"/>
    <w:rsid w:val="001C60F6"/>
    <w:rsid w:val="001E30D6"/>
    <w:rsid w:val="001E75C6"/>
    <w:rsid w:val="00214AC4"/>
    <w:rsid w:val="002339BB"/>
    <w:rsid w:val="00234707"/>
    <w:rsid w:val="00252E9C"/>
    <w:rsid w:val="00254188"/>
    <w:rsid w:val="0025515F"/>
    <w:rsid w:val="00285426"/>
    <w:rsid w:val="002A01BC"/>
    <w:rsid w:val="002A08B7"/>
    <w:rsid w:val="002A7C35"/>
    <w:rsid w:val="002A7D5F"/>
    <w:rsid w:val="002C1043"/>
    <w:rsid w:val="00312E48"/>
    <w:rsid w:val="00313103"/>
    <w:rsid w:val="003417F2"/>
    <w:rsid w:val="003441AA"/>
    <w:rsid w:val="003669FF"/>
    <w:rsid w:val="003A428F"/>
    <w:rsid w:val="003B02A5"/>
    <w:rsid w:val="003F17AE"/>
    <w:rsid w:val="003F7E00"/>
    <w:rsid w:val="00410703"/>
    <w:rsid w:val="00421513"/>
    <w:rsid w:val="00431BCF"/>
    <w:rsid w:val="0043518C"/>
    <w:rsid w:val="00483629"/>
    <w:rsid w:val="004B36D3"/>
    <w:rsid w:val="004B600E"/>
    <w:rsid w:val="004D28BC"/>
    <w:rsid w:val="004E13CA"/>
    <w:rsid w:val="0053031C"/>
    <w:rsid w:val="00547B77"/>
    <w:rsid w:val="00571A84"/>
    <w:rsid w:val="00582280"/>
    <w:rsid w:val="00593492"/>
    <w:rsid w:val="005947D1"/>
    <w:rsid w:val="005D4389"/>
    <w:rsid w:val="005E005A"/>
    <w:rsid w:val="005F6C0C"/>
    <w:rsid w:val="00625298"/>
    <w:rsid w:val="006351B0"/>
    <w:rsid w:val="00674332"/>
    <w:rsid w:val="0068354B"/>
    <w:rsid w:val="00686014"/>
    <w:rsid w:val="00693EB5"/>
    <w:rsid w:val="006B187F"/>
    <w:rsid w:val="006B31AD"/>
    <w:rsid w:val="006C2C3C"/>
    <w:rsid w:val="00702C32"/>
    <w:rsid w:val="00706C61"/>
    <w:rsid w:val="0071336A"/>
    <w:rsid w:val="00725208"/>
    <w:rsid w:val="00744B2E"/>
    <w:rsid w:val="007512C8"/>
    <w:rsid w:val="00793500"/>
    <w:rsid w:val="00793DA4"/>
    <w:rsid w:val="007A07CB"/>
    <w:rsid w:val="007B373E"/>
    <w:rsid w:val="007E5A10"/>
    <w:rsid w:val="00805671"/>
    <w:rsid w:val="008137C5"/>
    <w:rsid w:val="008177DB"/>
    <w:rsid w:val="0083071D"/>
    <w:rsid w:val="008436EC"/>
    <w:rsid w:val="0084569D"/>
    <w:rsid w:val="008D240C"/>
    <w:rsid w:val="008F1CE1"/>
    <w:rsid w:val="009009DD"/>
    <w:rsid w:val="00926F25"/>
    <w:rsid w:val="00930C5E"/>
    <w:rsid w:val="00954E5A"/>
    <w:rsid w:val="00972CDD"/>
    <w:rsid w:val="009A45C6"/>
    <w:rsid w:val="009A59F5"/>
    <w:rsid w:val="009B4344"/>
    <w:rsid w:val="009C3AD4"/>
    <w:rsid w:val="009E3E1D"/>
    <w:rsid w:val="00A26CD9"/>
    <w:rsid w:val="00A311DC"/>
    <w:rsid w:val="00A36FFB"/>
    <w:rsid w:val="00A536EE"/>
    <w:rsid w:val="00A544AE"/>
    <w:rsid w:val="00A87E71"/>
    <w:rsid w:val="00A92C01"/>
    <w:rsid w:val="00A958AD"/>
    <w:rsid w:val="00A9735A"/>
    <w:rsid w:val="00AA5DEE"/>
    <w:rsid w:val="00AB0F12"/>
    <w:rsid w:val="00AB5305"/>
    <w:rsid w:val="00AC04F4"/>
    <w:rsid w:val="00AC1181"/>
    <w:rsid w:val="00AC4BF9"/>
    <w:rsid w:val="00AD46AA"/>
    <w:rsid w:val="00AE4A01"/>
    <w:rsid w:val="00AE6566"/>
    <w:rsid w:val="00AF00D0"/>
    <w:rsid w:val="00AF5CFE"/>
    <w:rsid w:val="00B03D34"/>
    <w:rsid w:val="00B45C27"/>
    <w:rsid w:val="00B72A18"/>
    <w:rsid w:val="00B77869"/>
    <w:rsid w:val="00B77EFE"/>
    <w:rsid w:val="00B941ED"/>
    <w:rsid w:val="00B97941"/>
    <w:rsid w:val="00BD6A9C"/>
    <w:rsid w:val="00C02E19"/>
    <w:rsid w:val="00C208C9"/>
    <w:rsid w:val="00C250AB"/>
    <w:rsid w:val="00C45D39"/>
    <w:rsid w:val="00C616DA"/>
    <w:rsid w:val="00C8177A"/>
    <w:rsid w:val="00C81DCC"/>
    <w:rsid w:val="00C8535E"/>
    <w:rsid w:val="00C87615"/>
    <w:rsid w:val="00CB0AB5"/>
    <w:rsid w:val="00CB1D99"/>
    <w:rsid w:val="00CB5C4B"/>
    <w:rsid w:val="00CB7CF1"/>
    <w:rsid w:val="00CC08AA"/>
    <w:rsid w:val="00CC3227"/>
    <w:rsid w:val="00CE2D47"/>
    <w:rsid w:val="00CE6622"/>
    <w:rsid w:val="00D0471F"/>
    <w:rsid w:val="00D33861"/>
    <w:rsid w:val="00D46A94"/>
    <w:rsid w:val="00D63CC0"/>
    <w:rsid w:val="00D718F6"/>
    <w:rsid w:val="00D82033"/>
    <w:rsid w:val="00D8378B"/>
    <w:rsid w:val="00DD125C"/>
    <w:rsid w:val="00DD418A"/>
    <w:rsid w:val="00DD563B"/>
    <w:rsid w:val="00DE5471"/>
    <w:rsid w:val="00E37B01"/>
    <w:rsid w:val="00E56B83"/>
    <w:rsid w:val="00E925F6"/>
    <w:rsid w:val="00EA30A5"/>
    <w:rsid w:val="00F02E95"/>
    <w:rsid w:val="00F22990"/>
    <w:rsid w:val="00F55DF5"/>
    <w:rsid w:val="00F85449"/>
    <w:rsid w:val="00F93F75"/>
    <w:rsid w:val="00FA4D8A"/>
    <w:rsid w:val="00FD56BC"/>
    <w:rsid w:val="00FE2FD0"/>
    <w:rsid w:val="00FF50B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68F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B187F"/>
    <w:pPr>
      <w:tabs>
        <w:tab w:val="center" w:pos="4320"/>
        <w:tab w:val="right" w:pos="8640"/>
      </w:tabs>
    </w:pPr>
  </w:style>
  <w:style w:type="paragraph" w:styleId="Footer">
    <w:name w:val="footer"/>
    <w:basedOn w:val="Normal"/>
    <w:rsid w:val="006B187F"/>
    <w:pPr>
      <w:tabs>
        <w:tab w:val="center" w:pos="4320"/>
        <w:tab w:val="right" w:pos="8640"/>
      </w:tabs>
    </w:pPr>
  </w:style>
  <w:style w:type="character" w:styleId="Emphasis">
    <w:name w:val="Emphasis"/>
    <w:basedOn w:val="DefaultParagraphFont"/>
    <w:qFormat/>
    <w:rsid w:val="00AC1181"/>
    <w:rPr>
      <w:i/>
      <w:iCs/>
    </w:rPr>
  </w:style>
  <w:style w:type="character" w:styleId="Hyperlink">
    <w:name w:val="Hyperlink"/>
    <w:basedOn w:val="DefaultParagraphFont"/>
    <w:rsid w:val="00D8378B"/>
    <w:rPr>
      <w:color w:val="0000FF"/>
      <w:u w:val="single"/>
    </w:rPr>
  </w:style>
  <w:style w:type="paragraph" w:styleId="BalloonText">
    <w:name w:val="Balloon Text"/>
    <w:basedOn w:val="Normal"/>
    <w:semiHidden/>
    <w:rsid w:val="00625298"/>
    <w:rPr>
      <w:rFonts w:ascii="Tahoma" w:hAnsi="Tahoma" w:cs="Tahoma"/>
      <w:sz w:val="16"/>
      <w:szCs w:val="16"/>
    </w:rPr>
  </w:style>
  <w:style w:type="table" w:styleId="TableGrid">
    <w:name w:val="Table Grid"/>
    <w:basedOn w:val="TableNormal"/>
    <w:rsid w:val="0025515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96960660">
      <w:bodyDiv w:val="1"/>
      <w:marLeft w:val="0"/>
      <w:marRight w:val="0"/>
      <w:marTop w:val="0"/>
      <w:marBottom w:val="0"/>
      <w:divBdr>
        <w:top w:val="none" w:sz="0" w:space="0" w:color="auto"/>
        <w:left w:val="none" w:sz="0" w:space="0" w:color="auto"/>
        <w:bottom w:val="none" w:sz="0" w:space="0" w:color="auto"/>
        <w:right w:val="none" w:sz="0" w:space="0" w:color="auto"/>
      </w:divBdr>
      <w:divsChild>
        <w:div w:id="281067">
          <w:marLeft w:val="0"/>
          <w:marRight w:val="0"/>
          <w:marTop w:val="0"/>
          <w:marBottom w:val="0"/>
          <w:divBdr>
            <w:top w:val="none" w:sz="0" w:space="0" w:color="auto"/>
            <w:left w:val="none" w:sz="0" w:space="0" w:color="auto"/>
            <w:bottom w:val="none" w:sz="0" w:space="0" w:color="auto"/>
            <w:right w:val="none" w:sz="0" w:space="0" w:color="auto"/>
          </w:divBdr>
        </w:div>
        <w:div w:id="1468400237">
          <w:marLeft w:val="0"/>
          <w:marRight w:val="0"/>
          <w:marTop w:val="0"/>
          <w:marBottom w:val="0"/>
          <w:divBdr>
            <w:top w:val="none" w:sz="0" w:space="0" w:color="auto"/>
            <w:left w:val="none" w:sz="0" w:space="0" w:color="auto"/>
            <w:bottom w:val="none" w:sz="0" w:space="0" w:color="auto"/>
            <w:right w:val="none" w:sz="0" w:space="0" w:color="auto"/>
          </w:divBdr>
        </w:div>
      </w:divsChild>
    </w:div>
    <w:div w:id="535240628">
      <w:bodyDiv w:val="1"/>
      <w:marLeft w:val="0"/>
      <w:marRight w:val="0"/>
      <w:marTop w:val="0"/>
      <w:marBottom w:val="0"/>
      <w:divBdr>
        <w:top w:val="none" w:sz="0" w:space="0" w:color="auto"/>
        <w:left w:val="none" w:sz="0" w:space="0" w:color="auto"/>
        <w:bottom w:val="none" w:sz="0" w:space="0" w:color="auto"/>
        <w:right w:val="none" w:sz="0" w:space="0" w:color="auto"/>
      </w:divBdr>
      <w:divsChild>
        <w:div w:id="1119186475">
          <w:marLeft w:val="0"/>
          <w:marRight w:val="0"/>
          <w:marTop w:val="0"/>
          <w:marBottom w:val="0"/>
          <w:divBdr>
            <w:top w:val="none" w:sz="0" w:space="0" w:color="auto"/>
            <w:left w:val="none" w:sz="0" w:space="0" w:color="auto"/>
            <w:bottom w:val="none" w:sz="0" w:space="0" w:color="auto"/>
            <w:right w:val="none" w:sz="0" w:space="0" w:color="auto"/>
          </w:divBdr>
        </w:div>
        <w:div w:id="1915116619">
          <w:marLeft w:val="0"/>
          <w:marRight w:val="0"/>
          <w:marTop w:val="0"/>
          <w:marBottom w:val="0"/>
          <w:divBdr>
            <w:top w:val="none" w:sz="0" w:space="0" w:color="auto"/>
            <w:left w:val="none" w:sz="0" w:space="0" w:color="auto"/>
            <w:bottom w:val="none" w:sz="0" w:space="0" w:color="auto"/>
            <w:right w:val="none" w:sz="0" w:space="0" w:color="auto"/>
          </w:divBdr>
        </w:div>
      </w:divsChild>
    </w:div>
    <w:div w:id="929850509">
      <w:bodyDiv w:val="1"/>
      <w:marLeft w:val="0"/>
      <w:marRight w:val="0"/>
      <w:marTop w:val="0"/>
      <w:marBottom w:val="0"/>
      <w:divBdr>
        <w:top w:val="none" w:sz="0" w:space="0" w:color="auto"/>
        <w:left w:val="none" w:sz="0" w:space="0" w:color="auto"/>
        <w:bottom w:val="none" w:sz="0" w:space="0" w:color="auto"/>
        <w:right w:val="none" w:sz="0" w:space="0" w:color="auto"/>
      </w:divBdr>
      <w:divsChild>
        <w:div w:id="22025069">
          <w:marLeft w:val="0"/>
          <w:marRight w:val="0"/>
          <w:marTop w:val="0"/>
          <w:marBottom w:val="0"/>
          <w:divBdr>
            <w:top w:val="none" w:sz="0" w:space="0" w:color="auto"/>
            <w:left w:val="none" w:sz="0" w:space="0" w:color="auto"/>
            <w:bottom w:val="none" w:sz="0" w:space="0" w:color="auto"/>
            <w:right w:val="none" w:sz="0" w:space="0" w:color="auto"/>
          </w:divBdr>
          <w:divsChild>
            <w:div w:id="76557312">
              <w:marLeft w:val="0"/>
              <w:marRight w:val="0"/>
              <w:marTop w:val="0"/>
              <w:marBottom w:val="0"/>
              <w:divBdr>
                <w:top w:val="none" w:sz="0" w:space="0" w:color="auto"/>
                <w:left w:val="none" w:sz="0" w:space="0" w:color="auto"/>
                <w:bottom w:val="none" w:sz="0" w:space="0" w:color="auto"/>
                <w:right w:val="none" w:sz="0" w:space="0" w:color="auto"/>
              </w:divBdr>
            </w:div>
          </w:divsChild>
        </w:div>
        <w:div w:id="545877521">
          <w:marLeft w:val="0"/>
          <w:marRight w:val="0"/>
          <w:marTop w:val="0"/>
          <w:marBottom w:val="0"/>
          <w:divBdr>
            <w:top w:val="none" w:sz="0" w:space="0" w:color="auto"/>
            <w:left w:val="none" w:sz="0" w:space="0" w:color="auto"/>
            <w:bottom w:val="none" w:sz="0" w:space="0" w:color="auto"/>
            <w:right w:val="none" w:sz="0" w:space="0" w:color="auto"/>
          </w:divBdr>
        </w:div>
        <w:div w:id="1414472299">
          <w:marLeft w:val="0"/>
          <w:marRight w:val="0"/>
          <w:marTop w:val="0"/>
          <w:marBottom w:val="0"/>
          <w:divBdr>
            <w:top w:val="none" w:sz="0" w:space="0" w:color="auto"/>
            <w:left w:val="none" w:sz="0" w:space="0" w:color="auto"/>
            <w:bottom w:val="none" w:sz="0" w:space="0" w:color="auto"/>
            <w:right w:val="none" w:sz="0" w:space="0" w:color="auto"/>
          </w:divBdr>
        </w:div>
        <w:div w:id="1870683513">
          <w:marLeft w:val="0"/>
          <w:marRight w:val="0"/>
          <w:marTop w:val="0"/>
          <w:marBottom w:val="0"/>
          <w:divBdr>
            <w:top w:val="none" w:sz="0" w:space="0" w:color="auto"/>
            <w:left w:val="none" w:sz="0" w:space="0" w:color="auto"/>
            <w:bottom w:val="none" w:sz="0" w:space="0" w:color="auto"/>
            <w:right w:val="none" w:sz="0" w:space="0" w:color="auto"/>
          </w:divBdr>
        </w:div>
      </w:divsChild>
    </w:div>
    <w:div w:id="936986506">
      <w:bodyDiv w:val="1"/>
      <w:marLeft w:val="0"/>
      <w:marRight w:val="0"/>
      <w:marTop w:val="0"/>
      <w:marBottom w:val="0"/>
      <w:divBdr>
        <w:top w:val="none" w:sz="0" w:space="0" w:color="auto"/>
        <w:left w:val="none" w:sz="0" w:space="0" w:color="auto"/>
        <w:bottom w:val="none" w:sz="0" w:space="0" w:color="auto"/>
        <w:right w:val="none" w:sz="0" w:space="0" w:color="auto"/>
      </w:divBdr>
      <w:divsChild>
        <w:div w:id="438839447">
          <w:marLeft w:val="0"/>
          <w:marRight w:val="0"/>
          <w:marTop w:val="0"/>
          <w:marBottom w:val="0"/>
          <w:divBdr>
            <w:top w:val="none" w:sz="0" w:space="0" w:color="auto"/>
            <w:left w:val="none" w:sz="0" w:space="0" w:color="auto"/>
            <w:bottom w:val="none" w:sz="0" w:space="0" w:color="auto"/>
            <w:right w:val="none" w:sz="0" w:space="0" w:color="auto"/>
          </w:divBdr>
          <w:divsChild>
            <w:div w:id="1811314857">
              <w:marLeft w:val="0"/>
              <w:marRight w:val="0"/>
              <w:marTop w:val="0"/>
              <w:marBottom w:val="0"/>
              <w:divBdr>
                <w:top w:val="none" w:sz="0" w:space="0" w:color="auto"/>
                <w:left w:val="none" w:sz="0" w:space="0" w:color="auto"/>
                <w:bottom w:val="none" w:sz="0" w:space="0" w:color="auto"/>
                <w:right w:val="none" w:sz="0" w:space="0" w:color="auto"/>
              </w:divBdr>
              <w:divsChild>
                <w:div w:id="685836651">
                  <w:marLeft w:val="0"/>
                  <w:marRight w:val="0"/>
                  <w:marTop w:val="0"/>
                  <w:marBottom w:val="0"/>
                  <w:divBdr>
                    <w:top w:val="none" w:sz="0" w:space="0" w:color="auto"/>
                    <w:left w:val="none" w:sz="0" w:space="0" w:color="auto"/>
                    <w:bottom w:val="none" w:sz="0" w:space="0" w:color="auto"/>
                    <w:right w:val="none" w:sz="0" w:space="0" w:color="auto"/>
                  </w:divBdr>
                </w:div>
                <w:div w:id="972907793">
                  <w:marLeft w:val="0"/>
                  <w:marRight w:val="0"/>
                  <w:marTop w:val="0"/>
                  <w:marBottom w:val="0"/>
                  <w:divBdr>
                    <w:top w:val="none" w:sz="0" w:space="0" w:color="auto"/>
                    <w:left w:val="none" w:sz="0" w:space="0" w:color="auto"/>
                    <w:bottom w:val="none" w:sz="0" w:space="0" w:color="auto"/>
                    <w:right w:val="none" w:sz="0" w:space="0" w:color="auto"/>
                  </w:divBdr>
                </w:div>
                <w:div w:id="153950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182320">
      <w:bodyDiv w:val="1"/>
      <w:marLeft w:val="0"/>
      <w:marRight w:val="0"/>
      <w:marTop w:val="0"/>
      <w:marBottom w:val="0"/>
      <w:divBdr>
        <w:top w:val="none" w:sz="0" w:space="0" w:color="auto"/>
        <w:left w:val="none" w:sz="0" w:space="0" w:color="auto"/>
        <w:bottom w:val="none" w:sz="0" w:space="0" w:color="auto"/>
        <w:right w:val="none" w:sz="0" w:space="0" w:color="auto"/>
      </w:divBdr>
    </w:div>
    <w:div w:id="1789930385">
      <w:bodyDiv w:val="1"/>
      <w:marLeft w:val="0"/>
      <w:marRight w:val="0"/>
      <w:marTop w:val="0"/>
      <w:marBottom w:val="0"/>
      <w:divBdr>
        <w:top w:val="none" w:sz="0" w:space="0" w:color="auto"/>
        <w:left w:val="none" w:sz="0" w:space="0" w:color="auto"/>
        <w:bottom w:val="none" w:sz="0" w:space="0" w:color="auto"/>
        <w:right w:val="none" w:sz="0" w:space="0" w:color="auto"/>
      </w:divBdr>
      <w:divsChild>
        <w:div w:id="789519284">
          <w:marLeft w:val="0"/>
          <w:marRight w:val="0"/>
          <w:marTop w:val="0"/>
          <w:marBottom w:val="0"/>
          <w:divBdr>
            <w:top w:val="none" w:sz="0" w:space="0" w:color="auto"/>
            <w:left w:val="none" w:sz="0" w:space="0" w:color="auto"/>
            <w:bottom w:val="none" w:sz="0" w:space="0" w:color="auto"/>
            <w:right w:val="none" w:sz="0" w:space="0" w:color="auto"/>
          </w:divBdr>
        </w:div>
      </w:divsChild>
    </w:div>
    <w:div w:id="1881429948">
      <w:bodyDiv w:val="1"/>
      <w:marLeft w:val="0"/>
      <w:marRight w:val="0"/>
      <w:marTop w:val="0"/>
      <w:marBottom w:val="0"/>
      <w:divBdr>
        <w:top w:val="none" w:sz="0" w:space="0" w:color="auto"/>
        <w:left w:val="none" w:sz="0" w:space="0" w:color="auto"/>
        <w:bottom w:val="none" w:sz="0" w:space="0" w:color="auto"/>
        <w:right w:val="none" w:sz="0" w:space="0" w:color="auto"/>
      </w:divBdr>
      <w:divsChild>
        <w:div w:id="761603971">
          <w:marLeft w:val="0"/>
          <w:marRight w:val="0"/>
          <w:marTop w:val="0"/>
          <w:marBottom w:val="0"/>
          <w:divBdr>
            <w:top w:val="none" w:sz="0" w:space="0" w:color="auto"/>
            <w:left w:val="none" w:sz="0" w:space="0" w:color="auto"/>
            <w:bottom w:val="none" w:sz="0" w:space="0" w:color="auto"/>
            <w:right w:val="none" w:sz="0" w:space="0" w:color="auto"/>
          </w:divBdr>
          <w:divsChild>
            <w:div w:id="1658418028">
              <w:marLeft w:val="0"/>
              <w:marRight w:val="0"/>
              <w:marTop w:val="0"/>
              <w:marBottom w:val="0"/>
              <w:divBdr>
                <w:top w:val="none" w:sz="0" w:space="0" w:color="auto"/>
                <w:left w:val="none" w:sz="0" w:space="0" w:color="auto"/>
                <w:bottom w:val="none" w:sz="0" w:space="0" w:color="auto"/>
                <w:right w:val="none" w:sz="0" w:space="0" w:color="auto"/>
              </w:divBdr>
              <w:divsChild>
                <w:div w:id="1143501858">
                  <w:marLeft w:val="0"/>
                  <w:marRight w:val="0"/>
                  <w:marTop w:val="0"/>
                  <w:marBottom w:val="0"/>
                  <w:divBdr>
                    <w:top w:val="none" w:sz="0" w:space="0" w:color="auto"/>
                    <w:left w:val="none" w:sz="0" w:space="0" w:color="auto"/>
                    <w:bottom w:val="none" w:sz="0" w:space="0" w:color="auto"/>
                    <w:right w:val="none" w:sz="0" w:space="0" w:color="auto"/>
                  </w:divBdr>
                </w:div>
                <w:div w:id="145748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87524">
          <w:marLeft w:val="0"/>
          <w:marRight w:val="0"/>
          <w:marTop w:val="0"/>
          <w:marBottom w:val="0"/>
          <w:divBdr>
            <w:top w:val="none" w:sz="0" w:space="0" w:color="auto"/>
            <w:left w:val="none" w:sz="0" w:space="0" w:color="auto"/>
            <w:bottom w:val="none" w:sz="0" w:space="0" w:color="auto"/>
            <w:right w:val="none" w:sz="0" w:space="0" w:color="auto"/>
          </w:divBdr>
        </w:div>
      </w:divsChild>
    </w:div>
    <w:div w:id="1971203344">
      <w:bodyDiv w:val="1"/>
      <w:marLeft w:val="0"/>
      <w:marRight w:val="0"/>
      <w:marTop w:val="0"/>
      <w:marBottom w:val="0"/>
      <w:divBdr>
        <w:top w:val="none" w:sz="0" w:space="0" w:color="auto"/>
        <w:left w:val="none" w:sz="0" w:space="0" w:color="auto"/>
        <w:bottom w:val="none" w:sz="0" w:space="0" w:color="auto"/>
        <w:right w:val="none" w:sz="0" w:space="0" w:color="auto"/>
      </w:divBdr>
      <w:divsChild>
        <w:div w:id="58601565">
          <w:marLeft w:val="0"/>
          <w:marRight w:val="0"/>
          <w:marTop w:val="0"/>
          <w:marBottom w:val="0"/>
          <w:divBdr>
            <w:top w:val="none" w:sz="0" w:space="0" w:color="auto"/>
            <w:left w:val="none" w:sz="0" w:space="0" w:color="auto"/>
            <w:bottom w:val="none" w:sz="0" w:space="0" w:color="auto"/>
            <w:right w:val="none" w:sz="0" w:space="0" w:color="auto"/>
          </w:divBdr>
        </w:div>
      </w:divsChild>
    </w:div>
    <w:div w:id="1976713975">
      <w:bodyDiv w:val="1"/>
      <w:marLeft w:val="0"/>
      <w:marRight w:val="0"/>
      <w:marTop w:val="0"/>
      <w:marBottom w:val="0"/>
      <w:divBdr>
        <w:top w:val="none" w:sz="0" w:space="0" w:color="auto"/>
        <w:left w:val="none" w:sz="0" w:space="0" w:color="auto"/>
        <w:bottom w:val="none" w:sz="0" w:space="0" w:color="auto"/>
        <w:right w:val="none" w:sz="0" w:space="0" w:color="auto"/>
      </w:divBdr>
    </w:div>
    <w:div w:id="209015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195</TotalTime>
  <Pages>4</Pages>
  <Words>1043</Words>
  <Characters>5637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The following is our question related to Appendix D: Cost Proposal Exhibits, Exhibit D1- Medical Claims Trend:</vt:lpstr>
    </vt:vector>
  </TitlesOfParts>
  <Company>BCBSMN</Company>
  <LinksUpToDate>false</LinksUpToDate>
  <CharactersWithSpaces>6667</CharactersWithSpaces>
  <SharedDoc>false</SharedDoc>
  <HLinks>
    <vt:vector size="6" baseType="variant">
      <vt:variant>
        <vt:i4>5636191</vt:i4>
      </vt:variant>
      <vt:variant>
        <vt:i4>15</vt:i4>
      </vt:variant>
      <vt:variant>
        <vt:i4>0</vt:i4>
      </vt:variant>
      <vt:variant>
        <vt:i4>5</vt:i4>
      </vt:variant>
      <vt:variant>
        <vt:lpwstr>http://www.doer.state.mn.us/ei-segip/pdf/advantage retirees and fewd/RetireeHealthSummary.pdf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following is our question related to Appendix D: Cost Proposal Exhibits, Exhibit D1- Medical Claims Trend:</dc:title>
  <dc:creator>Blue Cross Blue Shield of Minnesota</dc:creator>
  <cp:lastModifiedBy>Maendel, Julie</cp:lastModifiedBy>
  <cp:revision>60</cp:revision>
  <cp:lastPrinted>2008-03-24T20:33:00Z</cp:lastPrinted>
  <dcterms:created xsi:type="dcterms:W3CDTF">2010-03-03T15:46:00Z</dcterms:created>
  <dcterms:modified xsi:type="dcterms:W3CDTF">2010-03-22T16:34:00Z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